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1910" w14:textId="08C1B942" w:rsidR="00082399" w:rsidRPr="001F6346" w:rsidRDefault="00261090" w:rsidP="00672D1F">
      <w:pPr>
        <w:pStyle w:val="Title"/>
        <w:rPr>
          <w:rFonts w:ascii="Oswald" w:hAnsi="Oswald"/>
          <w:b w:val="0"/>
          <w:bCs w:val="0"/>
          <w:color w:val="4196C6"/>
        </w:rPr>
      </w:pPr>
      <w:bookmarkStart w:id="0" w:name="_Toc125278732"/>
      <w:r w:rsidRPr="001F6346">
        <w:rPr>
          <w:rFonts w:ascii="Oswald" w:hAnsi="Oswald"/>
          <w:b w:val="0"/>
          <w:bCs w:val="0"/>
          <w:color w:val="4196C6"/>
        </w:rPr>
        <w:t>Consultation Questionnaire</w:t>
      </w:r>
      <w:r w:rsidR="00082399" w:rsidRPr="001F6346">
        <w:rPr>
          <w:rFonts w:ascii="Oswald" w:hAnsi="Oswald"/>
          <w:b w:val="0"/>
          <w:bCs w:val="0"/>
          <w:color w:val="4196C6"/>
        </w:rPr>
        <w:t xml:space="preserve"> Exemption </w:t>
      </w:r>
      <w:r w:rsidR="009746B7" w:rsidRPr="001F6346">
        <w:rPr>
          <w:rFonts w:ascii="Oswald" w:hAnsi="Oswald"/>
          <w:b w:val="0"/>
          <w:bCs w:val="0"/>
          <w:color w:val="4196C6"/>
        </w:rPr>
        <w:t>9(a)II</w:t>
      </w:r>
      <w:r w:rsidR="00082399" w:rsidRPr="001F6346">
        <w:rPr>
          <w:rFonts w:ascii="Oswald" w:hAnsi="Oswald"/>
          <w:b w:val="0"/>
          <w:bCs w:val="0"/>
          <w:color w:val="4196C6"/>
        </w:rPr>
        <w:t xml:space="preserve"> of RoHS Annex </w:t>
      </w:r>
      <w:r w:rsidR="009746B7" w:rsidRPr="001F6346">
        <w:rPr>
          <w:rFonts w:ascii="Oswald" w:hAnsi="Oswald"/>
          <w:b w:val="0"/>
          <w:bCs w:val="0"/>
          <w:color w:val="4196C6"/>
        </w:rPr>
        <w:t>III</w:t>
      </w:r>
    </w:p>
    <w:p w14:paraId="5E6BB7D2" w14:textId="0ACCB03B" w:rsidR="008E61BA" w:rsidRPr="008E61BA" w:rsidRDefault="008E61BA" w:rsidP="009F5D18">
      <w:pPr>
        <w:pStyle w:val="IntenseQuote"/>
        <w:rPr>
          <w:i w:val="0"/>
        </w:rPr>
      </w:pPr>
      <w:r w:rsidRPr="008E61BA">
        <w:rPr>
          <w:i w:val="0"/>
        </w:rPr>
        <w:t>Current wording of the exemption:</w:t>
      </w:r>
    </w:p>
    <w:p w14:paraId="43D2F31E" w14:textId="77777777" w:rsidR="00E77718" w:rsidRPr="002A6B46" w:rsidRDefault="00E77718" w:rsidP="00E77718">
      <w:pPr>
        <w:pStyle w:val="IntenseQuote"/>
        <w:rPr>
          <w:rFonts w:ascii="Arial" w:hAnsi="Arial" w:cs="Arial"/>
          <w:sz w:val="22"/>
          <w:lang w:val="en-US"/>
        </w:rPr>
      </w:pPr>
      <w:r w:rsidRPr="002A6B46">
        <w:rPr>
          <w:rFonts w:ascii="Arial" w:hAnsi="Arial" w:cs="Arial"/>
          <w:sz w:val="22"/>
          <w:lang w:val="en-US"/>
        </w:rPr>
        <w:t xml:space="preserve">Up to 0.75 % hexavalent chromium by weight, used as an anticorrosion agent in the cooling solution of carbon steel cooling systems of absorption refrigerators: </w:t>
      </w:r>
    </w:p>
    <w:p w14:paraId="0EC58BCF" w14:textId="77777777" w:rsidR="00E77718" w:rsidRPr="002A6B46" w:rsidRDefault="00E77718" w:rsidP="00E77718">
      <w:pPr>
        <w:pStyle w:val="IntenseQuote"/>
        <w:rPr>
          <w:rFonts w:ascii="Arial" w:hAnsi="Arial" w:cs="Arial"/>
          <w:sz w:val="22"/>
          <w:lang w:val="en-US"/>
        </w:rPr>
      </w:pPr>
      <w:r w:rsidRPr="002A6B46">
        <w:rPr>
          <w:rFonts w:ascii="Arial" w:hAnsi="Arial" w:cs="Arial"/>
          <w:sz w:val="22"/>
          <w:lang w:val="en-US"/>
        </w:rPr>
        <w:t xml:space="preserve">— designed to operate fully or partly with electrical heater, having an average </w:t>
      </w:r>
      <w:proofErr w:type="spellStart"/>
      <w:r w:rsidRPr="002A6B46">
        <w:rPr>
          <w:rFonts w:ascii="Arial" w:hAnsi="Arial" w:cs="Arial"/>
          <w:sz w:val="22"/>
          <w:lang w:val="en-US"/>
        </w:rPr>
        <w:t>utilised</w:t>
      </w:r>
      <w:proofErr w:type="spellEnd"/>
      <w:r w:rsidRPr="002A6B46">
        <w:rPr>
          <w:rFonts w:ascii="Arial" w:hAnsi="Arial" w:cs="Arial"/>
          <w:sz w:val="22"/>
          <w:lang w:val="en-US"/>
        </w:rPr>
        <w:t xml:space="preserve"> power input ≥ 75 W at constant running conditions, </w:t>
      </w:r>
    </w:p>
    <w:p w14:paraId="4B9149BB" w14:textId="77777777" w:rsidR="00E77718" w:rsidRPr="002A6B46" w:rsidRDefault="00E77718" w:rsidP="00E77718">
      <w:pPr>
        <w:pStyle w:val="IntenseQuote"/>
        <w:rPr>
          <w:rFonts w:ascii="Arial" w:hAnsi="Arial" w:cs="Arial"/>
          <w:sz w:val="22"/>
          <w:lang w:val="en-US"/>
        </w:rPr>
      </w:pPr>
      <w:r w:rsidRPr="002A6B46">
        <w:rPr>
          <w:rFonts w:ascii="Arial" w:hAnsi="Arial" w:cs="Arial"/>
          <w:sz w:val="22"/>
          <w:lang w:val="en-US"/>
        </w:rPr>
        <w:t>—designed to fully operate with non-electrical heater.</w:t>
      </w:r>
    </w:p>
    <w:p w14:paraId="36D5AC2D" w14:textId="0DC6E1FE" w:rsidR="00A019C0" w:rsidRPr="009F5D18" w:rsidRDefault="008E61BA" w:rsidP="009F5D18">
      <w:pPr>
        <w:pStyle w:val="IntenseQuote"/>
      </w:pPr>
      <w:r>
        <w:t xml:space="preserve">Expires in </w:t>
      </w:r>
      <w:r w:rsidR="00B62D1F">
        <w:t>21. July 2021</w:t>
      </w:r>
      <w:r w:rsidR="00D26F39">
        <w:t xml:space="preserve"> for cat. </w:t>
      </w:r>
      <w:r w:rsidR="00B62D1F">
        <w:t>1</w:t>
      </w:r>
    </w:p>
    <w:bookmarkEnd w:id="0"/>
    <w:p w14:paraId="3E3B0354" w14:textId="77777777" w:rsidR="00672D1F" w:rsidRPr="00672D1F" w:rsidRDefault="00672D1F" w:rsidP="00672D1F">
      <w:pPr>
        <w:pStyle w:val="Heading1"/>
      </w:pPr>
      <w:proofErr w:type="spellStart"/>
      <w:r w:rsidRPr="00672D1F">
        <w:t>Acronyms</w:t>
      </w:r>
      <w:proofErr w:type="spellEnd"/>
      <w:r w:rsidRPr="00672D1F">
        <w:t xml:space="preserve"> and </w:t>
      </w:r>
      <w:proofErr w:type="spellStart"/>
      <w:r w:rsidRPr="00672D1F">
        <w:t>Definitions</w:t>
      </w:r>
      <w:proofErr w:type="spellEnd"/>
    </w:p>
    <w:p w14:paraId="4A27C38C" w14:textId="77777777" w:rsidR="00B62D1F" w:rsidRPr="00797546" w:rsidRDefault="00B62D1F" w:rsidP="00B62D1F">
      <w:pPr>
        <w:ind w:left="2268" w:hanging="2268"/>
        <w:rPr>
          <w:rStyle w:val="Standard1"/>
          <w:sz w:val="22"/>
          <w:lang w:eastAsia="fr-FR"/>
        </w:rPr>
      </w:pPr>
      <w:r>
        <w:rPr>
          <w:rStyle w:val="Standard1"/>
          <w:sz w:val="22"/>
          <w:lang w:eastAsia="fr-FR"/>
        </w:rPr>
        <w:t>Cr</w:t>
      </w:r>
      <w:r w:rsidRPr="002A6B46">
        <w:rPr>
          <w:rStyle w:val="Standard1"/>
          <w:sz w:val="22"/>
          <w:vertAlign w:val="superscript"/>
          <w:lang w:eastAsia="fr-FR"/>
        </w:rPr>
        <w:t>6+</w:t>
      </w:r>
      <w:r w:rsidRPr="00797546">
        <w:rPr>
          <w:rStyle w:val="Standard1"/>
          <w:sz w:val="22"/>
          <w:lang w:eastAsia="fr-FR"/>
        </w:rPr>
        <w:tab/>
      </w:r>
      <w:r>
        <w:rPr>
          <w:rStyle w:val="Standard1"/>
          <w:sz w:val="22"/>
          <w:lang w:eastAsia="fr-FR"/>
        </w:rPr>
        <w:t>hexavalent chromium</w:t>
      </w:r>
    </w:p>
    <w:p w14:paraId="3782059A" w14:textId="77777777" w:rsidR="00D26F39" w:rsidRPr="00672D1F" w:rsidRDefault="00D26F39" w:rsidP="00D26F39">
      <w:pPr>
        <w:tabs>
          <w:tab w:val="left" w:pos="2835"/>
        </w:tabs>
        <w:rPr>
          <w:rStyle w:val="Standard1"/>
          <w:rFonts w:ascii="Open Sans" w:hAnsi="Open Sans" w:cs="Open Sans"/>
          <w:lang w:eastAsia="fr-FR"/>
        </w:rPr>
      </w:pPr>
    </w:p>
    <w:p w14:paraId="3297A2EB" w14:textId="034887C5" w:rsidR="00672D1F" w:rsidRDefault="00E00C5C" w:rsidP="00672D1F">
      <w:pPr>
        <w:pStyle w:val="Heading1"/>
        <w:rPr>
          <w:rStyle w:val="Standard1"/>
          <w:rFonts w:ascii="Open Sans" w:hAnsi="Open Sans" w:cs="Open Sans"/>
          <w:lang w:val="en-US" w:eastAsia="fr-FR"/>
        </w:rPr>
      </w:pPr>
      <w:r>
        <w:rPr>
          <w:rStyle w:val="Standard1"/>
          <w:rFonts w:ascii="Open Sans" w:hAnsi="Open Sans" w:cs="Open Sans"/>
          <w:lang w:val="en-US" w:eastAsia="fr-FR"/>
        </w:rPr>
        <w:t>Introduction</w:t>
      </w:r>
    </w:p>
    <w:p w14:paraId="108D446C" w14:textId="5DC621E5" w:rsidR="00E00C5C" w:rsidRPr="00E00C5C" w:rsidRDefault="00E00C5C" w:rsidP="00E00C5C">
      <w:pPr>
        <w:pStyle w:val="Heading2"/>
        <w:rPr>
          <w:lang w:val="en-US"/>
        </w:rPr>
      </w:pPr>
      <w:r>
        <w:rPr>
          <w:lang w:val="en-US"/>
        </w:rPr>
        <w:t>Background</w:t>
      </w:r>
    </w:p>
    <w:p w14:paraId="7E51CFDC"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FootnoteReference"/>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23A0177F" w14:textId="296AE0E5" w:rsidR="00672D1F" w:rsidRDefault="00875F5B" w:rsidP="00672D1F">
      <w:pPr>
        <w:rPr>
          <w:rStyle w:val="Standard1"/>
          <w:rFonts w:ascii="Open Sans" w:hAnsi="Open Sans" w:cs="Open Sans"/>
          <w:lang w:eastAsia="fr-FR"/>
        </w:rPr>
      </w:pPr>
      <w:proofErr w:type="spellStart"/>
      <w:r>
        <w:rPr>
          <w:rStyle w:val="Standard1"/>
          <w:rFonts w:ascii="Open Sans" w:hAnsi="Open Sans" w:cs="Open Sans"/>
          <w:lang w:eastAsia="fr-FR"/>
        </w:rPr>
        <w:t>Dometic</w:t>
      </w:r>
      <w:proofErr w:type="spellEnd"/>
      <w:r w:rsidR="00672D1F" w:rsidRPr="00672D1F">
        <w:rPr>
          <w:rStyle w:val="Standard1"/>
          <w:rFonts w:ascii="Open Sans" w:hAnsi="Open Sans" w:cs="Open Sans"/>
          <w:lang w:eastAsia="fr-FR"/>
        </w:rPr>
        <w:t xml:space="preserve"> submitted </w:t>
      </w:r>
      <w:r w:rsidR="00D26F39">
        <w:rPr>
          <w:rStyle w:val="Standard1"/>
          <w:rFonts w:ascii="Open Sans" w:hAnsi="Open Sans" w:cs="Open Sans"/>
          <w:lang w:eastAsia="fr-FR"/>
        </w:rPr>
        <w:t xml:space="preserve">a </w:t>
      </w:r>
      <w:r w:rsidR="00672D1F" w:rsidRPr="00672D1F">
        <w:rPr>
          <w:rStyle w:val="Standard1"/>
          <w:rFonts w:ascii="Open Sans" w:hAnsi="Open Sans" w:cs="Open Sans"/>
          <w:lang w:eastAsia="fr-FR"/>
        </w:rPr>
        <w:t>request</w:t>
      </w:r>
      <w:bookmarkStart w:id="1" w:name="_Ref69496525"/>
      <w:r w:rsidR="00672D1F">
        <w:rPr>
          <w:rStyle w:val="FootnoteReference"/>
          <w:rFonts w:cs="Open Sans"/>
        </w:rPr>
        <w:footnoteReference w:id="3"/>
      </w:r>
      <w:bookmarkEnd w:id="1"/>
      <w:r w:rsidR="00672D1F" w:rsidRPr="00672D1F">
        <w:rPr>
          <w:rStyle w:val="Standard1"/>
          <w:rFonts w:ascii="Open Sans" w:hAnsi="Open Sans" w:cs="Open Sans"/>
          <w:lang w:eastAsia="fr-FR"/>
        </w:rPr>
        <w:t xml:space="preserve"> for the </w:t>
      </w:r>
      <w:r w:rsidR="008E61BA">
        <w:rPr>
          <w:rStyle w:val="Standard1"/>
          <w:rFonts w:ascii="Open Sans" w:hAnsi="Open Sans" w:cs="Open Sans"/>
          <w:lang w:eastAsia="fr-FR"/>
        </w:rPr>
        <w:t>renewal</w:t>
      </w:r>
      <w:r w:rsidR="00672D1F" w:rsidRPr="00672D1F">
        <w:rPr>
          <w:rStyle w:val="Standard1"/>
          <w:rFonts w:ascii="Open Sans" w:hAnsi="Open Sans" w:cs="Open Sans"/>
          <w:lang w:eastAsia="fr-FR"/>
        </w:rPr>
        <w:t xml:space="preserve"> of the above-mentioned exemption. The request has been subject to a first completeness and plausibility check. The applicant has been re-quested to answer additional questions and to provide additional information, available on the request webpage of the stakeholder consultation.</w:t>
      </w:r>
      <w:r w:rsidR="00672D1F">
        <w:rPr>
          <w:rStyle w:val="FootnoteReference"/>
          <w:rFonts w:cs="Open Sans"/>
        </w:rPr>
        <w:footnoteReference w:id="4"/>
      </w:r>
      <w:r w:rsidR="00672D1F" w:rsidRPr="00672D1F">
        <w:rPr>
          <w:rStyle w:val="Standard1"/>
          <w:rFonts w:ascii="Open Sans" w:hAnsi="Open Sans" w:cs="Open Sans"/>
          <w:lang w:eastAsia="fr-FR"/>
        </w:rPr>
        <w:t xml:space="preserve">  </w:t>
      </w:r>
    </w:p>
    <w:p w14:paraId="0ABAF8DE" w14:textId="77777777" w:rsidR="00E00C5C" w:rsidRPr="00672D1F" w:rsidRDefault="00E00C5C" w:rsidP="00E00C5C">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Pr>
          <w:rStyle w:val="FootnoteReference"/>
          <w:rFonts w:cs="Open Sans"/>
        </w:rPr>
        <w:footnoteReference w:id="5"/>
      </w:r>
      <w:r w:rsidRPr="00672D1F">
        <w:rPr>
          <w:rStyle w:val="Standard1"/>
          <w:rFonts w:ascii="Open Sans" w:hAnsi="Open Sans" w:cs="Open Sans"/>
          <w:lang w:eastAsia="fr-FR"/>
        </w:rPr>
        <w:t xml:space="preserve"> </w:t>
      </w:r>
    </w:p>
    <w:p w14:paraId="04426E30" w14:textId="3049D889" w:rsidR="00E00C5C" w:rsidRPr="00672D1F" w:rsidRDefault="00E00C5C" w:rsidP="00672D1F">
      <w:pPr>
        <w:rPr>
          <w:rStyle w:val="Standard1"/>
          <w:rFonts w:ascii="Open Sans" w:hAnsi="Open Sans" w:cs="Open Sans"/>
          <w:lang w:eastAsia="fr-FR"/>
        </w:rPr>
      </w:pPr>
      <w:r w:rsidRPr="00672D1F">
        <w:rPr>
          <w:rStyle w:val="Standard1"/>
          <w:rFonts w:ascii="Open Sans" w:hAnsi="Open Sans" w:cs="Open Sans"/>
          <w:lang w:eastAsia="fr-FR"/>
        </w:rPr>
        <w:lastRenderedPageBreak/>
        <w:t xml:space="preserve">To contribute to this stakeholder consultation, please answer the below questions until </w:t>
      </w:r>
      <w:r w:rsidR="001F6346">
        <w:rPr>
          <w:rStyle w:val="Standard1"/>
          <w:rFonts w:ascii="Open Sans" w:hAnsi="Open Sans" w:cs="Open Sans"/>
          <w:lang w:eastAsia="fr-FR"/>
        </w:rPr>
        <w:t>the 27</w:t>
      </w:r>
      <w:r w:rsidR="001F6346" w:rsidRPr="001F6346">
        <w:rPr>
          <w:rStyle w:val="Standard1"/>
          <w:rFonts w:ascii="Open Sans" w:hAnsi="Open Sans" w:cs="Open Sans"/>
          <w:vertAlign w:val="superscript"/>
          <w:lang w:eastAsia="fr-FR"/>
        </w:rPr>
        <w:t>th</w:t>
      </w:r>
      <w:r w:rsidR="001F6346">
        <w:rPr>
          <w:rStyle w:val="Standard1"/>
          <w:rFonts w:ascii="Open Sans" w:hAnsi="Open Sans" w:cs="Open Sans"/>
          <w:lang w:eastAsia="fr-FR"/>
        </w:rPr>
        <w:t xml:space="preserve"> of May 2021.</w:t>
      </w:r>
    </w:p>
    <w:p w14:paraId="586EF55A" w14:textId="780753EE" w:rsidR="008E61BA" w:rsidRDefault="008E61BA" w:rsidP="00E00C5C">
      <w:pPr>
        <w:pStyle w:val="Heading2"/>
        <w:rPr>
          <w:rStyle w:val="Standard1"/>
          <w:rFonts w:ascii="Open Sans" w:hAnsi="Open Sans" w:cs="Open Sans"/>
          <w:szCs w:val="20"/>
          <w:lang w:eastAsia="fr-FR"/>
        </w:rPr>
      </w:pPr>
      <w:r w:rsidRPr="006E4897">
        <w:rPr>
          <w:rStyle w:val="Standard1"/>
          <w:rFonts w:ascii="Open Sans" w:hAnsi="Open Sans" w:cs="Open Sans"/>
          <w:szCs w:val="20"/>
          <w:lang w:eastAsia="fr-FR"/>
        </w:rPr>
        <w:t>S</w:t>
      </w:r>
      <w:r w:rsidR="00D26F39">
        <w:rPr>
          <w:rStyle w:val="Standard1"/>
          <w:rFonts w:ascii="Open Sans" w:hAnsi="Open Sans" w:cs="Open Sans"/>
          <w:szCs w:val="20"/>
          <w:lang w:eastAsia="fr-FR"/>
        </w:rPr>
        <w:t>UMMARY OF THE EXEMPTION REQUEST</w:t>
      </w:r>
    </w:p>
    <w:p w14:paraId="7F3F8983" w14:textId="5CCBDCDD" w:rsidR="00672D1F" w:rsidRDefault="00875F5B" w:rsidP="00E77718">
      <w:pPr>
        <w:rPr>
          <w:rStyle w:val="Standard1"/>
          <w:rFonts w:ascii="Open Sans" w:hAnsi="Open Sans" w:cs="Open Sans"/>
          <w:lang w:val="en-US" w:eastAsia="fr-FR"/>
        </w:rPr>
      </w:pPr>
      <w:proofErr w:type="spellStart"/>
      <w:r>
        <w:rPr>
          <w:rStyle w:val="Standard1"/>
          <w:rFonts w:ascii="Open Sans" w:hAnsi="Open Sans" w:cs="Open Sans"/>
          <w:lang w:eastAsia="fr-FR"/>
        </w:rPr>
        <w:t>Dometic</w:t>
      </w:r>
      <w:proofErr w:type="spellEnd"/>
      <w:r w:rsidRPr="00C25DBD">
        <w:rPr>
          <w:rStyle w:val="Standard1"/>
          <w:rFonts w:ascii="Open Sans" w:hAnsi="Open Sans" w:cs="Open Sans"/>
          <w:lang w:eastAsia="fr-FR"/>
        </w:rPr>
        <w:t xml:space="preserve"> states that:</w:t>
      </w:r>
      <w:r>
        <w:rPr>
          <w:rStyle w:val="Standard1"/>
          <w:rFonts w:ascii="Open Sans" w:hAnsi="Open Sans" w:cs="Open Sans"/>
          <w:lang w:eastAsia="fr-FR"/>
        </w:rPr>
        <w:t xml:space="preserve"> “</w:t>
      </w:r>
      <w:proofErr w:type="spellStart"/>
      <w:r w:rsidR="00E77718" w:rsidRPr="00B62D1F">
        <w:rPr>
          <w:rStyle w:val="Standard1"/>
          <w:rFonts w:ascii="Open Sans" w:hAnsi="Open Sans" w:cs="Open Sans"/>
          <w:lang w:val="en-US" w:eastAsia="fr-FR"/>
        </w:rPr>
        <w:t>Dometic</w:t>
      </w:r>
      <w:proofErr w:type="spellEnd"/>
      <w:r w:rsidR="00E77718" w:rsidRPr="00B62D1F">
        <w:rPr>
          <w:rStyle w:val="Standard1"/>
          <w:rFonts w:ascii="Open Sans" w:hAnsi="Open Sans" w:cs="Open Sans"/>
          <w:lang w:val="en-US" w:eastAsia="fr-FR"/>
        </w:rPr>
        <w:t xml:space="preserve"> feel confident in substituting the existing corrosion inhibitor containing hexavalent</w:t>
      </w:r>
      <w:r w:rsidR="00B62D1F">
        <w:rPr>
          <w:rStyle w:val="Standard1"/>
          <w:rFonts w:ascii="Open Sans" w:hAnsi="Open Sans" w:cs="Open Sans"/>
          <w:lang w:val="en-US" w:eastAsia="fr-FR"/>
        </w:rPr>
        <w:t xml:space="preserve"> </w:t>
      </w:r>
      <w:r w:rsidR="00E77718" w:rsidRPr="00B62D1F">
        <w:rPr>
          <w:rStyle w:val="Standard1"/>
          <w:rFonts w:ascii="Open Sans" w:hAnsi="Open Sans" w:cs="Open Sans"/>
          <w:lang w:val="en-US" w:eastAsia="fr-FR"/>
        </w:rPr>
        <w:t xml:space="preserve">chromium (Cr </w:t>
      </w:r>
      <w:r w:rsidR="00F7520C">
        <w:rPr>
          <w:rStyle w:val="Standard1"/>
          <w:rFonts w:ascii="Open Sans" w:hAnsi="Open Sans" w:cs="Open Sans"/>
          <w:lang w:val="en-US" w:eastAsia="fr-FR"/>
        </w:rPr>
        <w:t>VI</w:t>
      </w:r>
      <w:r w:rsidR="00E77718" w:rsidRPr="00B62D1F">
        <w:rPr>
          <w:rStyle w:val="Standard1"/>
          <w:rFonts w:ascii="Open Sans" w:hAnsi="Open Sans" w:cs="Open Sans"/>
          <w:lang w:val="en-US" w:eastAsia="fr-FR"/>
        </w:rPr>
        <w:t>) in all its absorption refrigerators. We have already started the substitution process</w:t>
      </w:r>
      <w:r w:rsidR="00B62D1F">
        <w:rPr>
          <w:rStyle w:val="Standard1"/>
          <w:rFonts w:ascii="Open Sans" w:hAnsi="Open Sans" w:cs="Open Sans"/>
          <w:lang w:val="en-US" w:eastAsia="fr-FR"/>
        </w:rPr>
        <w:t xml:space="preserve"> </w:t>
      </w:r>
      <w:r w:rsidR="00E77718" w:rsidRPr="00B62D1F">
        <w:rPr>
          <w:rStyle w:val="Standard1"/>
          <w:rFonts w:ascii="Open Sans" w:hAnsi="Open Sans" w:cs="Open Sans"/>
          <w:lang w:val="en-US" w:eastAsia="fr-FR"/>
        </w:rPr>
        <w:t>for our absorption refrigerators with low boiling temperatures such as hotel minibars. For products</w:t>
      </w:r>
      <w:r w:rsidR="00B62D1F">
        <w:rPr>
          <w:rStyle w:val="Standard1"/>
          <w:rFonts w:ascii="Open Sans" w:hAnsi="Open Sans" w:cs="Open Sans"/>
          <w:lang w:val="en-US" w:eastAsia="fr-FR"/>
        </w:rPr>
        <w:t xml:space="preserve"> </w:t>
      </w:r>
      <w:r w:rsidR="00E77718" w:rsidRPr="00B62D1F">
        <w:rPr>
          <w:rStyle w:val="Standard1"/>
          <w:rFonts w:ascii="Open Sans" w:hAnsi="Open Sans" w:cs="Open Sans"/>
          <w:lang w:val="en-US" w:eastAsia="fr-FR"/>
        </w:rPr>
        <w:t xml:space="preserve">with higher boiling </w:t>
      </w:r>
      <w:r w:rsidRPr="00B62D1F">
        <w:rPr>
          <w:rStyle w:val="Standard1"/>
          <w:rFonts w:ascii="Open Sans" w:hAnsi="Open Sans" w:cs="Open Sans"/>
          <w:lang w:val="en-US" w:eastAsia="fr-FR"/>
        </w:rPr>
        <w:t>temperature,</w:t>
      </w:r>
      <w:r w:rsidR="00E77718" w:rsidRPr="00B62D1F">
        <w:rPr>
          <w:rStyle w:val="Standard1"/>
          <w:rFonts w:ascii="Open Sans" w:hAnsi="Open Sans" w:cs="Open Sans"/>
          <w:lang w:val="en-US" w:eastAsia="fr-FR"/>
        </w:rPr>
        <w:t xml:space="preserve"> we need addition time to </w:t>
      </w:r>
      <w:r w:rsidRPr="00B62D1F">
        <w:rPr>
          <w:rStyle w:val="Standard1"/>
          <w:rFonts w:ascii="Open Sans" w:hAnsi="Open Sans" w:cs="Open Sans"/>
          <w:lang w:val="en-US" w:eastAsia="fr-FR"/>
        </w:rPr>
        <w:t>finalize</w:t>
      </w:r>
      <w:r w:rsidR="00E77718" w:rsidRPr="00B62D1F">
        <w:rPr>
          <w:rStyle w:val="Standard1"/>
          <w:rFonts w:ascii="Open Sans" w:hAnsi="Open Sans" w:cs="Open Sans"/>
          <w:lang w:val="en-US" w:eastAsia="fr-FR"/>
        </w:rPr>
        <w:t xml:space="preserve"> the task related to the</w:t>
      </w:r>
      <w:r w:rsidR="00B62D1F">
        <w:rPr>
          <w:rStyle w:val="Standard1"/>
          <w:rFonts w:ascii="Open Sans" w:hAnsi="Open Sans" w:cs="Open Sans"/>
          <w:lang w:val="en-US" w:eastAsia="fr-FR"/>
        </w:rPr>
        <w:t xml:space="preserve"> </w:t>
      </w:r>
      <w:r w:rsidR="00E77718" w:rsidRPr="00B62D1F">
        <w:rPr>
          <w:rStyle w:val="Standard1"/>
          <w:rFonts w:ascii="Open Sans" w:hAnsi="Open Sans" w:cs="Open Sans"/>
          <w:lang w:val="en-US" w:eastAsia="fr-FR"/>
        </w:rPr>
        <w:t>substitution. Such tasks include redesign of the cooling units, development of a safety monitoring</w:t>
      </w:r>
      <w:r w:rsidR="00B62D1F">
        <w:rPr>
          <w:rStyle w:val="Standard1"/>
          <w:rFonts w:ascii="Open Sans" w:hAnsi="Open Sans" w:cs="Open Sans"/>
          <w:lang w:val="en-US" w:eastAsia="fr-FR"/>
        </w:rPr>
        <w:t xml:space="preserve"> </w:t>
      </w:r>
      <w:r w:rsidR="00E77718" w:rsidRPr="00B62D1F">
        <w:rPr>
          <w:rStyle w:val="Standard1"/>
          <w:rFonts w:ascii="Open Sans" w:hAnsi="Open Sans" w:cs="Open Sans"/>
          <w:lang w:val="en-US" w:eastAsia="fr-FR"/>
        </w:rPr>
        <w:t xml:space="preserve">system and extensive testing internally as well as by customers. </w:t>
      </w:r>
      <w:r w:rsidR="00E77718" w:rsidRPr="00B62D1F">
        <w:rPr>
          <w:rStyle w:val="Standard1"/>
          <w:rFonts w:ascii="Open Sans" w:hAnsi="Open Sans" w:cs="Open Sans"/>
          <w:lang w:eastAsia="fr-FR"/>
        </w:rPr>
        <w:t>Therefore we ask for a prolonging of</w:t>
      </w:r>
      <w:r w:rsidR="00B62D1F">
        <w:rPr>
          <w:rStyle w:val="Standard1"/>
          <w:rFonts w:ascii="Open Sans" w:hAnsi="Open Sans" w:cs="Open Sans"/>
          <w:lang w:eastAsia="fr-FR"/>
        </w:rPr>
        <w:t xml:space="preserve"> </w:t>
      </w:r>
      <w:r w:rsidR="00E77718" w:rsidRPr="00B62D1F">
        <w:rPr>
          <w:rStyle w:val="Standard1"/>
          <w:rFonts w:ascii="Open Sans" w:hAnsi="Open Sans" w:cs="Open Sans"/>
          <w:lang w:val="en-US" w:eastAsia="fr-FR"/>
        </w:rPr>
        <w:t>exemption 9(a)-II until 31 December 2025.</w:t>
      </w:r>
      <w:r>
        <w:rPr>
          <w:rStyle w:val="Standard1"/>
          <w:rFonts w:ascii="Open Sans" w:hAnsi="Open Sans" w:cs="Open Sans"/>
          <w:lang w:val="en-US" w:eastAsia="fr-FR"/>
        </w:rPr>
        <w:t>”</w:t>
      </w:r>
    </w:p>
    <w:p w14:paraId="05B36074" w14:textId="4C3076B1" w:rsidR="00875F5B" w:rsidRDefault="00875F5B" w:rsidP="00E77718">
      <w:pPr>
        <w:rPr>
          <w:rStyle w:val="Standard1"/>
          <w:rFonts w:ascii="Open Sans" w:hAnsi="Open Sans" w:cs="Open Sans"/>
          <w:lang w:val="en-US" w:eastAsia="fr-FR"/>
        </w:rPr>
      </w:pPr>
      <w:r>
        <w:rPr>
          <w:rStyle w:val="Standard1"/>
          <w:rFonts w:ascii="Open Sans" w:hAnsi="Open Sans" w:cs="Open Sans"/>
          <w:lang w:val="en-US" w:eastAsia="fr-FR"/>
        </w:rPr>
        <w:t xml:space="preserve">As for the substances concerning this exemption </w:t>
      </w:r>
      <w:proofErr w:type="spellStart"/>
      <w:r>
        <w:rPr>
          <w:rStyle w:val="Standard1"/>
          <w:rFonts w:ascii="Open Sans" w:hAnsi="Open Sans" w:cs="Open Sans"/>
          <w:lang w:val="en-US" w:eastAsia="fr-FR"/>
        </w:rPr>
        <w:t>Dometic</w:t>
      </w:r>
      <w:proofErr w:type="spellEnd"/>
      <w:r>
        <w:rPr>
          <w:rStyle w:val="Standard1"/>
          <w:rFonts w:ascii="Open Sans" w:hAnsi="Open Sans" w:cs="Open Sans"/>
          <w:lang w:val="en-US" w:eastAsia="fr-FR"/>
        </w:rPr>
        <w:t xml:space="preserve"> states:</w:t>
      </w:r>
    </w:p>
    <w:p w14:paraId="4FCEDDFB" w14:textId="79D53201" w:rsidR="00875F5B" w:rsidRPr="00875F5B" w:rsidRDefault="00875F5B" w:rsidP="00E77718">
      <w:pPr>
        <w:rPr>
          <w:rStyle w:val="Standard1"/>
          <w:rFonts w:ascii="Open Sans" w:hAnsi="Open Sans" w:cs="Open Sans"/>
          <w:i/>
          <w:lang w:val="en-US" w:eastAsia="fr-FR"/>
        </w:rPr>
      </w:pPr>
      <w:r>
        <w:rPr>
          <w:rStyle w:val="Standard1"/>
          <w:rFonts w:ascii="Open Sans" w:hAnsi="Open Sans" w:cs="Open Sans"/>
          <w:i/>
          <w:lang w:val="en-US" w:eastAsia="fr-FR"/>
        </w:rPr>
        <w:t>“</w:t>
      </w:r>
      <w:r w:rsidRPr="00875F5B">
        <w:rPr>
          <w:rStyle w:val="Standard1"/>
          <w:rFonts w:ascii="Open Sans" w:hAnsi="Open Sans" w:cs="Open Sans"/>
          <w:i/>
          <w:lang w:val="en-US" w:eastAsia="fr-FR"/>
        </w:rPr>
        <w:t>Hexavalent chromium works very well as corrosion inhibitor thanks to a thin chromium oxide (Cr2O3) layer that is formed on the interior surface of the steel tubes. This layer is very thin and tight which protects the steel from further corrosion.</w:t>
      </w:r>
      <w:r>
        <w:rPr>
          <w:rStyle w:val="Standard1"/>
          <w:rFonts w:ascii="Open Sans" w:hAnsi="Open Sans" w:cs="Open Sans"/>
          <w:i/>
          <w:lang w:val="en-US" w:eastAsia="fr-FR"/>
        </w:rPr>
        <w:t>”</w:t>
      </w:r>
    </w:p>
    <w:p w14:paraId="560A9F61" w14:textId="77777777" w:rsidR="00672D1F" w:rsidRPr="009F5D18" w:rsidRDefault="00672D1F" w:rsidP="00D05732">
      <w:pPr>
        <w:pStyle w:val="Heading1"/>
        <w:rPr>
          <w:rStyle w:val="Standard1"/>
          <w:rFonts w:ascii="Open Sans" w:hAnsi="Open Sans" w:cs="Open Sans"/>
          <w:lang w:eastAsia="fr-FR"/>
        </w:rPr>
      </w:pPr>
      <w:r w:rsidRPr="009F5D18">
        <w:rPr>
          <w:rStyle w:val="Standard1"/>
          <w:rFonts w:ascii="Open Sans" w:hAnsi="Open Sans" w:cs="Open Sans"/>
          <w:lang w:eastAsia="fr-FR"/>
        </w:rPr>
        <w:t>Questions</w:t>
      </w:r>
    </w:p>
    <w:p w14:paraId="566A7B1B" w14:textId="228CADF6" w:rsidR="00875F5B" w:rsidRPr="00A34BB5" w:rsidRDefault="00A34BB5" w:rsidP="00A34BB5">
      <w:pPr>
        <w:numPr>
          <w:ilvl w:val="0"/>
          <w:numId w:val="39"/>
        </w:numPr>
        <w:rPr>
          <w:rStyle w:val="Standard1"/>
          <w:rFonts w:ascii="Open Sans" w:hAnsi="Open Sans" w:cs="Open Sans"/>
          <w:lang w:eastAsia="fr-FR"/>
        </w:rPr>
      </w:pPr>
      <w:bookmarkStart w:id="2" w:name="_Ref50047031"/>
      <w:r w:rsidDel="00A34BB5">
        <w:rPr>
          <w:rStyle w:val="Standard1"/>
          <w:rFonts w:ascii="Open Sans" w:hAnsi="Open Sans" w:cs="Open Sans"/>
          <w:lang w:eastAsia="fr-FR"/>
        </w:rPr>
        <w:t xml:space="preserve"> </w:t>
      </w:r>
      <w:bookmarkEnd w:id="2"/>
      <w:proofErr w:type="spellStart"/>
      <w:r>
        <w:rPr>
          <w:rStyle w:val="Standard1"/>
          <w:rFonts w:ascii="Open Sans" w:hAnsi="Open Sans" w:cs="Open Sans"/>
          <w:lang w:eastAsia="fr-FR"/>
        </w:rPr>
        <w:t>Dometic</w:t>
      </w:r>
      <w:proofErr w:type="spellEnd"/>
      <w:r>
        <w:rPr>
          <w:rStyle w:val="Standard1"/>
          <w:rFonts w:ascii="Open Sans" w:hAnsi="Open Sans" w:cs="Open Sans"/>
          <w:lang w:eastAsia="fr-FR"/>
        </w:rPr>
        <w:t xml:space="preserve"> </w:t>
      </w:r>
      <w:r w:rsidRPr="00672D1F">
        <w:rPr>
          <w:rStyle w:val="Standard1"/>
          <w:rFonts w:ascii="Open Sans" w:hAnsi="Open Sans" w:cs="Open Sans"/>
          <w:lang w:eastAsia="fr-FR"/>
        </w:rPr>
        <w:t>requested the renewal</w:t>
      </w:r>
      <w:r w:rsidR="00194E59">
        <w:rPr>
          <w:rStyle w:val="Standard1"/>
          <w:rFonts w:ascii="Open Sans" w:hAnsi="Open Sans" w:cs="Open Sans"/>
          <w:lang w:eastAsia="fr-FR"/>
        </w:rPr>
        <w:fldChar w:fldCharType="begin"/>
      </w:r>
      <w:r w:rsidR="00194E59">
        <w:rPr>
          <w:rStyle w:val="Standard1"/>
          <w:rFonts w:ascii="Open Sans" w:hAnsi="Open Sans" w:cs="Open Sans"/>
          <w:lang w:eastAsia="fr-FR"/>
        </w:rPr>
        <w:instrText xml:space="preserve"> NOTEREF _Ref69496525 \f \h </w:instrText>
      </w:r>
      <w:r w:rsidR="00194E59">
        <w:rPr>
          <w:rStyle w:val="Standard1"/>
          <w:rFonts w:ascii="Open Sans" w:hAnsi="Open Sans" w:cs="Open Sans"/>
          <w:lang w:eastAsia="fr-FR"/>
        </w:rPr>
      </w:r>
      <w:r w:rsidR="00194E59">
        <w:rPr>
          <w:rStyle w:val="Standard1"/>
          <w:rFonts w:ascii="Open Sans" w:hAnsi="Open Sans" w:cs="Open Sans"/>
          <w:lang w:eastAsia="fr-FR"/>
        </w:rPr>
        <w:fldChar w:fldCharType="separate"/>
      </w:r>
      <w:r w:rsidR="00194E59" w:rsidRPr="00194E59">
        <w:rPr>
          <w:rStyle w:val="FootnoteReference"/>
        </w:rPr>
        <w:t>2</w:t>
      </w:r>
      <w:r w:rsidR="00194E59">
        <w:rPr>
          <w:rStyle w:val="Standard1"/>
          <w:rFonts w:ascii="Open Sans" w:hAnsi="Open Sans" w:cs="Open Sans"/>
          <w:lang w:eastAsia="fr-FR"/>
        </w:rPr>
        <w:fldChar w:fldCharType="end"/>
      </w:r>
      <w:r w:rsidRPr="00672D1F">
        <w:rPr>
          <w:rStyle w:val="Standard1"/>
          <w:rFonts w:ascii="Open Sans" w:hAnsi="Open Sans" w:cs="Open Sans"/>
          <w:lang w:eastAsia="fr-FR"/>
        </w:rPr>
        <w:t xml:space="preserve"> </w:t>
      </w:r>
      <w:r>
        <w:rPr>
          <w:rStyle w:val="Standard1"/>
          <w:rFonts w:ascii="Open Sans" w:hAnsi="Open Sans" w:cs="Open Sans"/>
          <w:lang w:eastAsia="fr-FR"/>
        </w:rPr>
        <w:t>of the above</w:t>
      </w:r>
      <w:r w:rsidRPr="00672D1F">
        <w:rPr>
          <w:rStyle w:val="Standard1"/>
          <w:rFonts w:ascii="Open Sans" w:hAnsi="Open Sans" w:cs="Open Sans"/>
          <w:lang w:eastAsia="fr-FR"/>
        </w:rPr>
        <w:t xml:space="preserve"> exemption</w:t>
      </w:r>
      <w:r>
        <w:rPr>
          <w:rStyle w:val="Standard1"/>
          <w:rFonts w:ascii="Open Sans" w:hAnsi="Open Sans" w:cs="Open Sans"/>
          <w:lang w:eastAsia="fr-FR"/>
        </w:rPr>
        <w:t xml:space="preserve"> until 31 December 2025 for EEE of cat. 1 until end of 2025 with the same wording and scope.</w:t>
      </w:r>
    </w:p>
    <w:p w14:paraId="0FB8AD8A" w14:textId="77777777"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Please let us know whether you support or disagree with the wording, scope and re-quested duration of the exemption. To support your views, please provide detailed technical argumentation / evidence in line with the criteria4 in Art. 5(1)(a).</w:t>
      </w:r>
    </w:p>
    <w:p w14:paraId="3AE638D0" w14:textId="77777777" w:rsidR="00672D1F" w:rsidRP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2767DFF9" w14:textId="082AE1BF" w:rsidR="00EE3356" w:rsidRDefault="00EE3356" w:rsidP="00EE3356">
      <w:pPr>
        <w:ind w:left="1080"/>
        <w:rPr>
          <w:rStyle w:val="Standard1"/>
          <w:rFonts w:ascii="Open Sans" w:hAnsi="Open Sans" w:cs="Open Sans"/>
          <w:lang w:eastAsia="fr-FR"/>
        </w:rPr>
      </w:pPr>
    </w:p>
    <w:p w14:paraId="2D1E4773" w14:textId="39B5C8C2" w:rsidR="00672D1F" w:rsidRPr="00FB2EC6" w:rsidRDefault="00672D1F" w:rsidP="00A34BB5">
      <w:pPr>
        <w:numPr>
          <w:ilvl w:val="0"/>
          <w:numId w:val="39"/>
        </w:numPr>
        <w:rPr>
          <w:rStyle w:val="Standard1"/>
          <w:rFonts w:ascii="Open Sans" w:hAnsi="Open Sans" w:cs="Open Sans"/>
          <w:lang w:eastAsia="fr-FR"/>
        </w:rPr>
      </w:pPr>
      <w:r w:rsidRPr="00FB2EC6">
        <w:rPr>
          <w:rStyle w:val="Standard1"/>
          <w:rFonts w:ascii="Open Sans" w:hAnsi="Open Sans" w:cs="Open Sans"/>
          <w:lang w:eastAsia="fr-FR"/>
        </w:rPr>
        <w:t xml:space="preserve">Please provide information concerning possible substitutes or elimination possibilities at present or in the future so that the requested exemption could be restricted or revoked. </w:t>
      </w:r>
    </w:p>
    <w:p w14:paraId="7DA7CFFB"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29E2BBC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7A4ABB33"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0A2C10B5" w14:textId="77777777" w:rsidR="00EE3356" w:rsidRDefault="00EE3356" w:rsidP="00EE3356">
      <w:pPr>
        <w:ind w:left="720"/>
        <w:rPr>
          <w:rStyle w:val="Standard1"/>
          <w:rFonts w:ascii="Open Sans" w:hAnsi="Open Sans" w:cs="Open Sans"/>
          <w:lang w:eastAsia="fr-FR"/>
        </w:rPr>
      </w:pPr>
    </w:p>
    <w:p w14:paraId="1FFC81AD" w14:textId="04534934" w:rsidR="00672D1F" w:rsidRPr="00672D1F" w:rsidRDefault="00672D1F" w:rsidP="00A34BB5">
      <w:pPr>
        <w:numPr>
          <w:ilvl w:val="0"/>
          <w:numId w:val="39"/>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exemption? </w:t>
      </w:r>
    </w:p>
    <w:p w14:paraId="184829B8" w14:textId="77777777" w:rsidR="00EE3356" w:rsidRDefault="00EE3356" w:rsidP="00EE3356">
      <w:pPr>
        <w:ind w:left="720"/>
        <w:rPr>
          <w:rStyle w:val="Standard1"/>
          <w:rFonts w:ascii="Open Sans" w:hAnsi="Open Sans" w:cs="Open Sans"/>
          <w:lang w:eastAsia="fr-FR"/>
        </w:rPr>
      </w:pPr>
    </w:p>
    <w:p w14:paraId="35077DEC" w14:textId="0A5C76D9" w:rsidR="00672D1F" w:rsidRPr="00672D1F" w:rsidRDefault="00672D1F" w:rsidP="00A34BB5">
      <w:pPr>
        <w:numPr>
          <w:ilvl w:val="0"/>
          <w:numId w:val="39"/>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7B76A9C9"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125C892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lastRenderedPageBreak/>
        <w:t>What are the volumes of additional waste to be generated should the requested ex-emption not be renewed or not be renewed for the requested duration?</w:t>
      </w:r>
    </w:p>
    <w:p w14:paraId="030707E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MRI devices, etc.</w:t>
      </w:r>
    </w:p>
    <w:p w14:paraId="3FC79F48" w14:textId="1ABE4789"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(e.g. private</w:t>
      </w:r>
      <w:r w:rsidR="00543E0E">
        <w:rPr>
          <w:rStyle w:val="Standard1"/>
          <w:rFonts w:ascii="Open Sans" w:hAnsi="Open Sans" w:cs="Open Sans"/>
          <w:lang w:eastAsia="fr-FR"/>
        </w:rPr>
        <w:t>, public, indus</w:t>
      </w:r>
      <w:r w:rsidRPr="00672D1F">
        <w:rPr>
          <w:rStyle w:val="Standard1"/>
          <w:rFonts w:ascii="Open Sans" w:hAnsi="Open Sans" w:cs="Open Sans"/>
          <w:lang w:eastAsia="fr-FR"/>
        </w:rPr>
        <w:t>try: manufacturers, suppliers, retailers).</w:t>
      </w:r>
    </w:p>
    <w:p w14:paraId="7EDB66FF" w14:textId="77777777" w:rsidR="00EE3356" w:rsidRDefault="00EE3356" w:rsidP="00EE3356">
      <w:pPr>
        <w:ind w:left="720"/>
        <w:rPr>
          <w:rStyle w:val="Standard1"/>
          <w:rFonts w:ascii="Open Sans" w:hAnsi="Open Sans" w:cs="Open Sans"/>
          <w:lang w:eastAsia="fr-FR"/>
        </w:rPr>
      </w:pPr>
    </w:p>
    <w:p w14:paraId="68366FFD" w14:textId="16CB848D" w:rsidR="00672D1F" w:rsidRPr="00672D1F" w:rsidRDefault="00EE3356" w:rsidP="00D05732">
      <w:pPr>
        <w:numPr>
          <w:ilvl w:val="0"/>
          <w:numId w:val="35"/>
        </w:numPr>
        <w:rPr>
          <w:rStyle w:val="Standard1"/>
          <w:rFonts w:ascii="Open Sans" w:hAnsi="Open Sans" w:cs="Open Sans"/>
          <w:lang w:eastAsia="fr-FR"/>
        </w:rPr>
      </w:pPr>
      <w:r>
        <w:rPr>
          <w:rStyle w:val="Standard1"/>
          <w:rFonts w:ascii="Open Sans" w:hAnsi="Open Sans" w:cs="Open Sans"/>
          <w:lang w:eastAsia="fr-FR"/>
        </w:rPr>
        <w:t>Any additional information which you would like to provide?</w:t>
      </w:r>
    </w:p>
    <w:p w14:paraId="0B731DCC" w14:textId="77777777" w:rsidR="008545B3" w:rsidRDefault="008545B3" w:rsidP="00672D1F">
      <w:pPr>
        <w:rPr>
          <w:rStyle w:val="Standard1"/>
          <w:rFonts w:ascii="Open Sans" w:hAnsi="Open Sans" w:cs="Open Sans"/>
          <w:lang w:eastAsia="fr-FR"/>
        </w:rPr>
      </w:pPr>
    </w:p>
    <w:p w14:paraId="5A4AC944" w14:textId="77777777" w:rsidR="00672D1F"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02180B5A" w14:textId="77777777" w:rsidR="00EE7D6A"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 xml:space="preserve">Please do not forget to provide your contact details (Name, Organisation, e-mail and phone number) so that </w:t>
      </w:r>
      <w:r w:rsidR="00D05732" w:rsidRPr="00EE3356">
        <w:rPr>
          <w:rStyle w:val="Standard1"/>
          <w:rFonts w:ascii="Open Sans" w:hAnsi="Open Sans" w:cs="Open Sans"/>
          <w:b/>
          <w:lang w:eastAsia="fr-FR"/>
        </w:rPr>
        <w:t xml:space="preserve">the project team </w:t>
      </w:r>
      <w:r w:rsidRPr="00EE3356">
        <w:rPr>
          <w:rStyle w:val="Standard1"/>
          <w:rFonts w:ascii="Open Sans" w:hAnsi="Open Sans" w:cs="Open Sans"/>
          <w:b/>
          <w:lang w:eastAsia="fr-FR"/>
        </w:rPr>
        <w:t>can contact you in case there are questions concerning your contribution.</w:t>
      </w:r>
    </w:p>
    <w:sectPr w:rsidR="00EE7D6A" w:rsidRPr="00EE3356" w:rsidSect="00875F5B">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134" w:left="1417" w:header="284" w:footer="465"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CCD6" w14:textId="77777777" w:rsidR="000D1971" w:rsidRDefault="000D1971" w:rsidP="00AA6F34">
      <w:pPr>
        <w:spacing w:before="0" w:line="240" w:lineRule="auto"/>
        <w:rPr>
          <w:rFonts w:cs="Times New Roman"/>
        </w:rPr>
      </w:pPr>
      <w:r>
        <w:rPr>
          <w:rFonts w:cs="Times New Roman"/>
        </w:rPr>
        <w:separator/>
      </w:r>
    </w:p>
  </w:endnote>
  <w:endnote w:type="continuationSeparator" w:id="0">
    <w:p w14:paraId="12FCCCED" w14:textId="77777777" w:rsidR="000D1971" w:rsidRDefault="000D1971"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swald">
    <w:altName w:val="Cambria Math"/>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495"/>
      <w:gridCol w:w="7318"/>
      <w:gridCol w:w="478"/>
    </w:tblGrid>
    <w:tr w:rsidR="00D05732" w:rsidRPr="00082399" w14:paraId="28A308B4" w14:textId="77777777" w:rsidTr="00CF0A01">
      <w:trPr>
        <w:jc w:val="center"/>
      </w:trPr>
      <w:tc>
        <w:tcPr>
          <w:tcW w:w="1415" w:type="dxa"/>
          <w:shd w:val="clear" w:color="auto" w:fill="auto"/>
        </w:tcPr>
        <w:p w14:paraId="2BD4D581" w14:textId="4EF55E16" w:rsidR="00D05732" w:rsidRPr="00082399" w:rsidRDefault="00AF12FA"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10FAA53F" wp14:editId="68A64D6E">
                <wp:extent cx="596265" cy="254635"/>
                <wp:effectExtent l="0" t="0" r="0" b="0"/>
                <wp:docPr id="3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1F0F8D4F" w14:textId="77777777"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2ACC234" w14:textId="6FA6CBE0"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2</w:t>
          </w:r>
          <w:r w:rsidRPr="00082399">
            <w:rPr>
              <w:color w:val="4196C6"/>
              <w:sz w:val="18"/>
              <w:szCs w:val="18"/>
              <w:lang w:val="fr-FR"/>
            </w:rPr>
            <w:fldChar w:fldCharType="end"/>
          </w:r>
        </w:p>
      </w:tc>
    </w:tr>
  </w:tbl>
  <w:p w14:paraId="1191A3A1"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495"/>
      <w:gridCol w:w="7318"/>
      <w:gridCol w:w="478"/>
    </w:tblGrid>
    <w:tr w:rsidR="00950A63" w:rsidRPr="00082399" w14:paraId="03B632F3" w14:textId="77777777" w:rsidTr="002374AE">
      <w:trPr>
        <w:jc w:val="center"/>
      </w:trPr>
      <w:tc>
        <w:tcPr>
          <w:tcW w:w="1415" w:type="dxa"/>
          <w:shd w:val="clear" w:color="auto" w:fill="auto"/>
        </w:tcPr>
        <w:p w14:paraId="1D8D8E2B" w14:textId="77777777" w:rsidR="00950A63" w:rsidRPr="00082399" w:rsidRDefault="00950A63" w:rsidP="00950A63">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FCD444E" wp14:editId="00C24EBD">
                <wp:extent cx="596265" cy="254635"/>
                <wp:effectExtent l="0" t="0" r="0" b="0"/>
                <wp:docPr id="4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5A93C463" w14:textId="77777777" w:rsidR="00950A63" w:rsidRPr="00082399" w:rsidRDefault="00950A63" w:rsidP="00950A63">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71E1EFB7" w14:textId="52DCE5F6" w:rsidR="00950A63" w:rsidRPr="00082399" w:rsidRDefault="00950A63" w:rsidP="00950A63">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A34BB5">
            <w:rPr>
              <w:noProof/>
              <w:color w:val="4196C6"/>
              <w:sz w:val="18"/>
              <w:szCs w:val="18"/>
              <w:lang w:val="en-US"/>
            </w:rPr>
            <w:t>1</w:t>
          </w:r>
          <w:r w:rsidRPr="00082399">
            <w:rPr>
              <w:color w:val="4196C6"/>
              <w:sz w:val="18"/>
              <w:szCs w:val="18"/>
              <w:lang w:val="fr-FR"/>
            </w:rPr>
            <w:fldChar w:fldCharType="end"/>
          </w:r>
        </w:p>
      </w:tc>
    </w:tr>
  </w:tbl>
  <w:p w14:paraId="77E4D75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495"/>
      <w:gridCol w:w="7318"/>
      <w:gridCol w:w="478"/>
    </w:tblGrid>
    <w:tr w:rsidR="00807583" w:rsidRPr="00082399" w14:paraId="3FB62EF8" w14:textId="77777777" w:rsidTr="00811C2B">
      <w:trPr>
        <w:jc w:val="center"/>
      </w:trPr>
      <w:tc>
        <w:tcPr>
          <w:tcW w:w="1415" w:type="dxa"/>
          <w:shd w:val="clear" w:color="auto" w:fill="auto"/>
        </w:tcPr>
        <w:p w14:paraId="61CD71BC" w14:textId="01188F25" w:rsidR="00807583" w:rsidRPr="00082399" w:rsidRDefault="00AF12FA"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72B5013" wp14:editId="4C87641D">
                <wp:extent cx="596265" cy="254635"/>
                <wp:effectExtent l="0" t="0" r="0" b="0"/>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21911F0D"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76102D3" w14:textId="0053A750"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1</w:t>
          </w:r>
          <w:r w:rsidRPr="00082399">
            <w:rPr>
              <w:color w:val="4196C6"/>
              <w:sz w:val="18"/>
              <w:szCs w:val="18"/>
              <w:lang w:val="fr-FR"/>
            </w:rPr>
            <w:fldChar w:fldCharType="end"/>
          </w:r>
        </w:p>
      </w:tc>
    </w:tr>
  </w:tbl>
  <w:p w14:paraId="4B34C386"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6773" w14:textId="77777777" w:rsidR="000D1971" w:rsidRDefault="000D1971" w:rsidP="00AA6F34">
      <w:pPr>
        <w:spacing w:before="0" w:line="240" w:lineRule="auto"/>
        <w:rPr>
          <w:rFonts w:cs="Times New Roman"/>
        </w:rPr>
      </w:pPr>
      <w:r>
        <w:rPr>
          <w:rFonts w:cs="Times New Roman"/>
        </w:rPr>
        <w:separator/>
      </w:r>
    </w:p>
  </w:footnote>
  <w:footnote w:type="continuationSeparator" w:id="0">
    <w:p w14:paraId="584335F6" w14:textId="77777777" w:rsidR="000D1971" w:rsidRDefault="000D1971" w:rsidP="00AA6F34">
      <w:pPr>
        <w:spacing w:before="0" w:line="240" w:lineRule="auto"/>
        <w:rPr>
          <w:rFonts w:cs="Times New Roman"/>
        </w:rPr>
      </w:pPr>
      <w:r>
        <w:rPr>
          <w:rFonts w:cs="Times New Roman"/>
        </w:rPr>
        <w:continuationSeparator/>
      </w:r>
    </w:p>
  </w:footnote>
  <w:footnote w:type="continuationNotice" w:id="1">
    <w:p w14:paraId="5336BACC" w14:textId="77777777" w:rsidR="000D1971" w:rsidRDefault="000D1971">
      <w:pPr>
        <w:spacing w:before="0" w:line="240" w:lineRule="auto"/>
        <w:rPr>
          <w:rFonts w:cs="Times New Roman"/>
        </w:rPr>
      </w:pPr>
    </w:p>
  </w:footnote>
  <w:footnote w:id="2">
    <w:p w14:paraId="53ABD1E0" w14:textId="77777777" w:rsidR="00672D1F" w:rsidRPr="00BA495E" w:rsidRDefault="00672D1F">
      <w:pPr>
        <w:pStyle w:val="FootnoteText"/>
        <w:rPr>
          <w:lang w:val="en-US"/>
        </w:rPr>
      </w:pPr>
      <w:r>
        <w:rPr>
          <w:rStyle w:val="FootnoteReference"/>
        </w:rPr>
        <w:footnoteRef/>
      </w:r>
      <w:r>
        <w:t xml:space="preserve"> It is implemented through </w:t>
      </w:r>
      <w:r w:rsidRPr="00672D1F">
        <w:t>the specific contract 070201/2020/832829/ENV.B.3 under the Framework contract ENV.B.3/FRA/2019/0017</w:t>
      </w:r>
    </w:p>
  </w:footnote>
  <w:footnote w:id="3">
    <w:p w14:paraId="2C8952D7" w14:textId="67B34025" w:rsidR="001F6346" w:rsidRPr="001F6346" w:rsidRDefault="00672D1F">
      <w:pPr>
        <w:pStyle w:val="FootnoteText"/>
        <w:rPr>
          <w:lang w:val="fr-FR"/>
        </w:rPr>
      </w:pPr>
      <w:r>
        <w:rPr>
          <w:rStyle w:val="FootnoteReference"/>
        </w:rPr>
        <w:footnoteRef/>
      </w:r>
      <w:r w:rsidRPr="00BA495E">
        <w:rPr>
          <w:lang w:val="fr-FR"/>
        </w:rPr>
        <w:t xml:space="preserve"> Exemption </w:t>
      </w:r>
      <w:proofErr w:type="spellStart"/>
      <w:r w:rsidRPr="00BA495E">
        <w:rPr>
          <w:lang w:val="fr-FR"/>
        </w:rPr>
        <w:t>request</w:t>
      </w:r>
      <w:proofErr w:type="spellEnd"/>
      <w:r w:rsidRPr="00BA495E">
        <w:rPr>
          <w:lang w:val="fr-FR"/>
        </w:rPr>
        <w:t xml:space="preserve"> </w:t>
      </w:r>
      <w:proofErr w:type="spellStart"/>
      <w:r w:rsidRPr="00BA495E">
        <w:rPr>
          <w:lang w:val="fr-FR"/>
        </w:rPr>
        <w:t>available</w:t>
      </w:r>
      <w:proofErr w:type="spellEnd"/>
      <w:r w:rsidRPr="00BA495E">
        <w:rPr>
          <w:lang w:val="fr-FR"/>
        </w:rPr>
        <w:t xml:space="preserve"> at </w:t>
      </w:r>
      <w:r w:rsidR="00194E59">
        <w:fldChar w:fldCharType="begin"/>
      </w:r>
      <w:r w:rsidR="00194E59" w:rsidRPr="00194E59">
        <w:rPr>
          <w:lang w:val="fr-FR"/>
        </w:rPr>
        <w:instrText xml:space="preserve"> HYPERLINK "http://www.rohs.biois.eu/RoHS_V_Application_Dometic%2020200116.pdf" </w:instrText>
      </w:r>
      <w:r w:rsidR="00194E59">
        <w:fldChar w:fldCharType="separate"/>
      </w:r>
      <w:r w:rsidR="001F6346" w:rsidRPr="003B30C2">
        <w:rPr>
          <w:rStyle w:val="Hyperlink"/>
          <w:lang w:val="fr-FR"/>
        </w:rPr>
        <w:t>http://www.rohs.biois.eu/RoHS_V_Application_Dometic%2020200116.pdf</w:t>
      </w:r>
      <w:r w:rsidR="00194E59">
        <w:rPr>
          <w:rStyle w:val="Hyperlink"/>
          <w:lang w:val="fr-FR"/>
        </w:rPr>
        <w:fldChar w:fldCharType="end"/>
      </w:r>
    </w:p>
  </w:footnote>
  <w:footnote w:id="4">
    <w:p w14:paraId="25008684" w14:textId="77777777" w:rsidR="001F6346" w:rsidRDefault="00672D1F">
      <w:pPr>
        <w:pStyle w:val="FootnoteText"/>
        <w:rPr>
          <w:lang w:val="fr-FR"/>
        </w:rPr>
      </w:pPr>
      <w:r>
        <w:rPr>
          <w:rStyle w:val="FootnoteReference"/>
        </w:rPr>
        <w:footnoteRef/>
      </w:r>
      <w:r w:rsidRPr="00BA495E">
        <w:rPr>
          <w:lang w:val="fr-FR"/>
        </w:rPr>
        <w:t xml:space="preserve"> Clarification questionnaire </w:t>
      </w:r>
      <w:proofErr w:type="spellStart"/>
      <w:r w:rsidRPr="00BA495E">
        <w:rPr>
          <w:lang w:val="fr-FR"/>
        </w:rPr>
        <w:t>available</w:t>
      </w:r>
      <w:proofErr w:type="spellEnd"/>
      <w:r w:rsidRPr="00BA495E">
        <w:rPr>
          <w:lang w:val="fr-FR"/>
        </w:rPr>
        <w:t xml:space="preserve"> </w:t>
      </w:r>
      <w:proofErr w:type="gramStart"/>
      <w:r w:rsidRPr="00BA495E">
        <w:rPr>
          <w:lang w:val="fr-FR"/>
        </w:rPr>
        <w:t>at</w:t>
      </w:r>
      <w:r w:rsidR="001F6346">
        <w:rPr>
          <w:lang w:val="fr-FR"/>
        </w:rPr>
        <w:t>:</w:t>
      </w:r>
      <w:proofErr w:type="gramEnd"/>
    </w:p>
    <w:p w14:paraId="37BBD67F" w14:textId="57337BDB" w:rsidR="001F6346" w:rsidRPr="00672D1F" w:rsidRDefault="00672D1F">
      <w:pPr>
        <w:pStyle w:val="FootnoteText"/>
        <w:rPr>
          <w:lang w:val="fr-FR"/>
        </w:rPr>
      </w:pPr>
      <w:r w:rsidRPr="00BA495E">
        <w:rPr>
          <w:lang w:val="fr-FR"/>
        </w:rPr>
        <w:t xml:space="preserve"> </w:t>
      </w:r>
      <w:r w:rsidR="00194E59">
        <w:fldChar w:fldCharType="begin"/>
      </w:r>
      <w:r w:rsidR="00194E59" w:rsidRPr="00194E59">
        <w:rPr>
          <w:lang w:val="fr-FR"/>
        </w:rPr>
        <w:instrText xml:space="preserve"> HYPERLINK "http://www.rohs.biois.eu/Ex_9aII_Annex-III_Dometic_Questionnaire-1_Clarification_answer.pdf" </w:instrText>
      </w:r>
      <w:r w:rsidR="00194E59">
        <w:fldChar w:fldCharType="separate"/>
      </w:r>
      <w:r w:rsidR="001F6346" w:rsidRPr="003B30C2">
        <w:rPr>
          <w:rStyle w:val="Hyperlink"/>
          <w:lang w:val="fr-FR"/>
        </w:rPr>
        <w:t>http://www.rohs.biois.eu/Ex_9aII_Annex-III_Dometic_Questionnaire-1_Clarification_answer.pdf</w:t>
      </w:r>
      <w:r w:rsidR="00194E59">
        <w:rPr>
          <w:rStyle w:val="Hyperlink"/>
          <w:lang w:val="fr-FR"/>
        </w:rPr>
        <w:fldChar w:fldCharType="end"/>
      </w:r>
    </w:p>
  </w:footnote>
  <w:footnote w:id="5">
    <w:p w14:paraId="7A9475B3" w14:textId="02BA9ED7" w:rsidR="001F6346" w:rsidRPr="001F6346" w:rsidRDefault="00E00C5C" w:rsidP="00E00C5C">
      <w:pPr>
        <w:pStyle w:val="footnote"/>
      </w:pPr>
      <w:r>
        <w:rPr>
          <w:rStyle w:val="FootnoteReference"/>
        </w:rPr>
        <w:footnoteRef/>
      </w:r>
      <w:r w:rsidRPr="00BA495E">
        <w:rPr>
          <w:lang w:val="fr-FR"/>
        </w:rPr>
        <w:t xml:space="preserve"> Directive 2011/65/EU (RoHS) </w:t>
      </w:r>
      <w:proofErr w:type="spellStart"/>
      <w:r w:rsidRPr="00BA495E">
        <w:rPr>
          <w:lang w:val="fr-FR"/>
        </w:rPr>
        <w:t>available</w:t>
      </w:r>
      <w:proofErr w:type="spellEnd"/>
      <w:r w:rsidRPr="00BA495E">
        <w:rPr>
          <w:lang w:val="fr-FR"/>
        </w:rPr>
        <w:t xml:space="preserve"> at </w:t>
      </w:r>
      <w:r w:rsidR="00194E59">
        <w:fldChar w:fldCharType="begin"/>
      </w:r>
      <w:r w:rsidR="00194E59" w:rsidRPr="00194E59">
        <w:rPr>
          <w:lang w:val="fr-FR"/>
        </w:rPr>
        <w:instrText xml:space="preserve"> HYPERLINK "http://eur-lex.europa.eu/LexUriServ/LexUriServ.do?uri=CELEX:32011L0065:EN:NOT" </w:instrText>
      </w:r>
      <w:r w:rsidR="00194E59">
        <w:fldChar w:fldCharType="separate"/>
      </w:r>
      <w:r w:rsidRPr="00BA495E">
        <w:rPr>
          <w:rStyle w:val="Hyperlink"/>
          <w:lang w:val="fr-FR"/>
        </w:rPr>
        <w:t>http://eur-lex.europa.eu/LexUriServ/LexUriServ.do?uri=CELEX:32011L0065:EN:NOT</w:t>
      </w:r>
      <w:r w:rsidR="00194E59">
        <w:rPr>
          <w:rStyle w:val="Hyperlink"/>
          <w:lang w:val="fr-FR"/>
        </w:rPr>
        <w:fldChar w:fldCharType="end"/>
      </w:r>
      <w:r w:rsidRPr="00BA495E">
        <w:rPr>
          <w:lang w:val="fr-FR"/>
        </w:rPr>
        <w:t xml:space="preserve"> </w:t>
      </w:r>
      <w:r>
        <w:rPr>
          <w:lang w:val="fr-FR"/>
        </w:rPr>
        <w:br/>
      </w:r>
      <w:r w:rsidRPr="00194E59">
        <w:rPr>
          <w:rStyle w:val="FootnoteReference"/>
          <w:lang w:val="fr-FR"/>
        </w:rPr>
        <w:t xml:space="preserve">5 </w:t>
      </w:r>
      <w:proofErr w:type="spellStart"/>
      <w:r w:rsidRPr="001F6346">
        <w:rPr>
          <w:lang w:val="fr-FR"/>
        </w:rPr>
        <w:t>Ref</w:t>
      </w:r>
      <w:proofErr w:type="spellEnd"/>
      <w:r w:rsidRPr="001F6346">
        <w:rPr>
          <w:lang w:val="fr-FR"/>
        </w:rPr>
        <w:t xml:space="preserve">. </w:t>
      </w:r>
      <w:proofErr w:type="gramStart"/>
      <w:r w:rsidRPr="001F6346">
        <w:t>Ares(</w:t>
      </w:r>
      <w:proofErr w:type="gramEnd"/>
      <w:r w:rsidRPr="001F6346">
        <w:t xml:space="preserve">2019)5042663 - 01/08/2019, </w:t>
      </w:r>
      <w:hyperlink r:id="rId1" w:history="1">
        <w:r w:rsidR="001F6346" w:rsidRPr="001F6346">
          <w:rPr>
            <w:rStyle w:val="Hyperlink"/>
          </w:rPr>
          <w:t>https://ec.europa.eu/info/law/better-regulation/initiatives/ares-2019-5042663_en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7932" w14:textId="6DEA88C2" w:rsidR="00A33112" w:rsidRPr="00950A63" w:rsidRDefault="00950A63" w:rsidP="00950A63">
    <w:pPr>
      <w:pStyle w:val="Header"/>
      <w:tabs>
        <w:tab w:val="clear" w:pos="4536"/>
      </w:tabs>
      <w:ind w:left="426"/>
      <w:jc w:val="right"/>
    </w:pPr>
    <w:r>
      <w:rPr>
        <w:noProof/>
        <w:sz w:val="18"/>
        <w:szCs w:val="18"/>
        <w:lang w:val="de-DE" w:eastAsia="de-DE"/>
      </w:rPr>
      <w:drawing>
        <wp:anchor distT="0" distB="0" distL="114300" distR="114300" simplePos="0" relativeHeight="251661312" behindDoc="0" locked="0" layoutInCell="1" allowOverlap="1" wp14:anchorId="3BAC2605" wp14:editId="563B58AB">
          <wp:simplePos x="0" y="0"/>
          <wp:positionH relativeFrom="column">
            <wp:posOffset>1753235</wp:posOffset>
          </wp:positionH>
          <wp:positionV relativeFrom="paragraph">
            <wp:posOffset>-11430</wp:posOffset>
          </wp:positionV>
          <wp:extent cx="774065" cy="210185"/>
          <wp:effectExtent l="0" t="0" r="0" b="0"/>
          <wp:wrapSquare wrapText="bothSides"/>
          <wp:docPr id="31"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3DC58392" wp14:editId="5D553DA5">
          <wp:simplePos x="0" y="0"/>
          <wp:positionH relativeFrom="column">
            <wp:posOffset>899160</wp:posOffset>
          </wp:positionH>
          <wp:positionV relativeFrom="paragraph">
            <wp:posOffset>-38100</wp:posOffset>
          </wp:positionV>
          <wp:extent cx="824865" cy="320675"/>
          <wp:effectExtent l="0" t="0" r="0" b="0"/>
          <wp:wrapSquare wrapText="bothSides"/>
          <wp:docPr id="32"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2A2AD954" wp14:editId="48E0450E">
          <wp:simplePos x="0" y="0"/>
          <wp:positionH relativeFrom="column">
            <wp:posOffset>0</wp:posOffset>
          </wp:positionH>
          <wp:positionV relativeFrom="paragraph">
            <wp:posOffset>0</wp:posOffset>
          </wp:positionV>
          <wp:extent cx="899160" cy="210185"/>
          <wp:effectExtent l="0" t="0" r="0" b="0"/>
          <wp:wrapSquare wrapText="bothSides"/>
          <wp:docPr id="33"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3234" w14:textId="77777777" w:rsidR="00950A63" w:rsidRDefault="00950A63" w:rsidP="00950A63">
    <w:pPr>
      <w:pStyle w:val="Header"/>
      <w:tabs>
        <w:tab w:val="clear" w:pos="4536"/>
      </w:tabs>
      <w:jc w:val="right"/>
    </w:pPr>
    <w:r>
      <w:rPr>
        <w:noProof/>
        <w:sz w:val="18"/>
        <w:szCs w:val="18"/>
        <w:lang w:val="de-DE" w:eastAsia="de-DE"/>
      </w:rPr>
      <w:drawing>
        <wp:anchor distT="0" distB="0" distL="114300" distR="114300" simplePos="0" relativeHeight="251665408" behindDoc="0" locked="0" layoutInCell="1" allowOverlap="1" wp14:anchorId="76A7A9F0" wp14:editId="192F4D1B">
          <wp:simplePos x="0" y="0"/>
          <wp:positionH relativeFrom="column">
            <wp:posOffset>1753235</wp:posOffset>
          </wp:positionH>
          <wp:positionV relativeFrom="paragraph">
            <wp:posOffset>-11430</wp:posOffset>
          </wp:positionV>
          <wp:extent cx="774065" cy="210185"/>
          <wp:effectExtent l="0" t="0" r="0" b="0"/>
          <wp:wrapSquare wrapText="bothSides"/>
          <wp:docPr id="15"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63360" behindDoc="0" locked="0" layoutInCell="1" allowOverlap="1" wp14:anchorId="46ADD475" wp14:editId="15BC6991">
          <wp:simplePos x="0" y="0"/>
          <wp:positionH relativeFrom="column">
            <wp:posOffset>899160</wp:posOffset>
          </wp:positionH>
          <wp:positionV relativeFrom="paragraph">
            <wp:posOffset>-38100</wp:posOffset>
          </wp:positionV>
          <wp:extent cx="824865" cy="320675"/>
          <wp:effectExtent l="0" t="0" r="0" b="0"/>
          <wp:wrapSquare wrapText="bothSides"/>
          <wp:docPr id="16"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4384" behindDoc="0" locked="0" layoutInCell="1" allowOverlap="1" wp14:anchorId="782AAA14" wp14:editId="17CBA945">
          <wp:simplePos x="0" y="0"/>
          <wp:positionH relativeFrom="column">
            <wp:posOffset>0</wp:posOffset>
          </wp:positionH>
          <wp:positionV relativeFrom="paragraph">
            <wp:posOffset>0</wp:posOffset>
          </wp:positionV>
          <wp:extent cx="899160" cy="210185"/>
          <wp:effectExtent l="0" t="0" r="0" b="0"/>
          <wp:wrapSquare wrapText="bothSides"/>
          <wp:docPr id="17"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2845B7E8" w14:textId="22405568" w:rsidR="00A33112" w:rsidRDefault="00A33112" w:rsidP="00A926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7F02" w14:textId="036A8EC6" w:rsidR="00A33112" w:rsidRDefault="00AF12FA"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7AA221CC" wp14:editId="6EBA7D6C">
          <wp:simplePos x="0" y="0"/>
          <wp:positionH relativeFrom="column">
            <wp:posOffset>1753235</wp:posOffset>
          </wp:positionH>
          <wp:positionV relativeFrom="paragraph">
            <wp:posOffset>-11430</wp:posOffset>
          </wp:positionV>
          <wp:extent cx="774065" cy="210185"/>
          <wp:effectExtent l="0" t="0" r="0" b="0"/>
          <wp:wrapSquare wrapText="bothSides"/>
          <wp:docPr id="3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38F78CFD" wp14:editId="651102B8">
          <wp:simplePos x="0" y="0"/>
          <wp:positionH relativeFrom="column">
            <wp:posOffset>899160</wp:posOffset>
          </wp:positionH>
          <wp:positionV relativeFrom="paragraph">
            <wp:posOffset>-38100</wp:posOffset>
          </wp:positionV>
          <wp:extent cx="824865" cy="320675"/>
          <wp:effectExtent l="0" t="0" r="0" b="0"/>
          <wp:wrapSquare wrapText="bothSides"/>
          <wp:docPr id="37"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0BE8A5BF" wp14:editId="176577C3">
          <wp:simplePos x="0" y="0"/>
          <wp:positionH relativeFrom="column">
            <wp:posOffset>0</wp:posOffset>
          </wp:positionH>
          <wp:positionV relativeFrom="paragraph">
            <wp:posOffset>0</wp:posOffset>
          </wp:positionV>
          <wp:extent cx="899160" cy="210185"/>
          <wp:effectExtent l="0" t="0" r="0" b="0"/>
          <wp:wrapSquare wrapText="bothSides"/>
          <wp:docPr id="38"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76341BB8"/>
    <w:lvl w:ilvl="0" w:tplc="5C9EB74E">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4A95586"/>
    <w:multiLevelType w:val="hybridMultilevel"/>
    <w:tmpl w:val="83E467FA"/>
    <w:lvl w:ilvl="0" w:tplc="28FA85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9"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10"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1"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3" w15:restartNumberingAfterBreak="0">
    <w:nsid w:val="2B6E5132"/>
    <w:multiLevelType w:val="hybridMultilevel"/>
    <w:tmpl w:val="20B08A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8"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0"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Heading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
      <w:lvlJc w:val="left"/>
      <w:pPr>
        <w:tabs>
          <w:tab w:val="num" w:pos="907"/>
        </w:tabs>
        <w:ind w:left="907" w:hanging="907"/>
      </w:pPr>
      <w:rPr>
        <w:rFonts w:hint="default"/>
        <w:color w:val="00AB4D"/>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3"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4" w15:restartNumberingAfterBreak="0">
    <w:nsid w:val="6CC03D6F"/>
    <w:multiLevelType w:val="hybridMultilevel"/>
    <w:tmpl w:val="590463A0"/>
    <w:lvl w:ilvl="0" w:tplc="3D1223F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A064E4"/>
    <w:multiLevelType w:val="hybridMultilevel"/>
    <w:tmpl w:val="83DC27C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30"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3"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10"/>
  </w:num>
  <w:num w:numId="8">
    <w:abstractNumId w:val="23"/>
  </w:num>
  <w:num w:numId="9">
    <w:abstractNumId w:val="21"/>
  </w:num>
  <w:num w:numId="10">
    <w:abstractNumId w:val="16"/>
  </w:num>
  <w:num w:numId="11">
    <w:abstractNumId w:val="22"/>
  </w:num>
  <w:num w:numId="12">
    <w:abstractNumId w:val="8"/>
  </w:num>
  <w:num w:numId="13">
    <w:abstractNumId w:val="9"/>
  </w:num>
  <w:num w:numId="14">
    <w:abstractNumId w:val="6"/>
  </w:num>
  <w:num w:numId="15">
    <w:abstractNumId w:val="1"/>
  </w:num>
  <w:num w:numId="16">
    <w:abstractNumId w:val="19"/>
  </w:num>
  <w:num w:numId="17">
    <w:abstractNumId w:val="32"/>
  </w:num>
  <w:num w:numId="18">
    <w:abstractNumId w:val="12"/>
  </w:num>
  <w:num w:numId="19">
    <w:abstractNumId w:val="29"/>
  </w:num>
  <w:num w:numId="20">
    <w:abstractNumId w:val="0"/>
  </w:num>
  <w:num w:numId="21">
    <w:abstractNumId w:val="5"/>
  </w:num>
  <w:num w:numId="22">
    <w:abstractNumId w:val="17"/>
  </w:num>
  <w:num w:numId="23">
    <w:abstractNumId w:val="4"/>
  </w:num>
  <w:num w:numId="24">
    <w:abstractNumId w:val="11"/>
  </w:num>
  <w:num w:numId="25">
    <w:abstractNumId w:val="28"/>
  </w:num>
  <w:num w:numId="26">
    <w:abstractNumId w:val="30"/>
  </w:num>
  <w:num w:numId="27">
    <w:abstractNumId w:val="3"/>
  </w:num>
  <w:num w:numId="28">
    <w:abstractNumId w:val="14"/>
  </w:num>
  <w:num w:numId="29">
    <w:abstractNumId w:val="25"/>
  </w:num>
  <w:num w:numId="30">
    <w:abstractNumId w:val="18"/>
  </w:num>
  <w:num w:numId="31">
    <w:abstractNumId w:val="15"/>
  </w:num>
  <w:num w:numId="32">
    <w:abstractNumId w:val="31"/>
  </w:num>
  <w:num w:numId="33">
    <w:abstractNumId w:val="33"/>
  </w:num>
  <w:num w:numId="34">
    <w:abstractNumId w:val="27"/>
  </w:num>
  <w:num w:numId="35">
    <w:abstractNumId w:val="20"/>
  </w:num>
  <w:num w:numId="36">
    <w:abstractNumId w:val="24"/>
  </w:num>
  <w:num w:numId="37">
    <w:abstractNumId w:val="26"/>
  </w:num>
  <w:num w:numId="38">
    <w:abstractNumId w:val="1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fr-FR" w:vendorID="64" w:dllVersion="0" w:nlCheck="1" w:checkStyle="0"/>
  <w:proofState w:spelling="clean" w:grammar="clean"/>
  <w:documentProtection w:edit="forms" w:enforcement="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FA"/>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9B6"/>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1971"/>
    <w:rsid w:val="000D27AF"/>
    <w:rsid w:val="000D2C69"/>
    <w:rsid w:val="000D38CA"/>
    <w:rsid w:val="000D5467"/>
    <w:rsid w:val="000D55C4"/>
    <w:rsid w:val="000D56D9"/>
    <w:rsid w:val="000D5CA4"/>
    <w:rsid w:val="000D667A"/>
    <w:rsid w:val="000D6B94"/>
    <w:rsid w:val="000D7536"/>
    <w:rsid w:val="000D7857"/>
    <w:rsid w:val="000D79C8"/>
    <w:rsid w:val="000D7F28"/>
    <w:rsid w:val="000E0A4E"/>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3876"/>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4E59"/>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346"/>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5E2E"/>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7DA"/>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5565"/>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2E3"/>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52"/>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2409"/>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3E0E"/>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2EBD"/>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3207"/>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897"/>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5F5B"/>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1BA"/>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0A6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46B7"/>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4BB5"/>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2FA"/>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29B1"/>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2D1F"/>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007"/>
    <w:rsid w:val="00B9623F"/>
    <w:rsid w:val="00B978C4"/>
    <w:rsid w:val="00B97C48"/>
    <w:rsid w:val="00BA03F0"/>
    <w:rsid w:val="00BA1B0F"/>
    <w:rsid w:val="00BA1C66"/>
    <w:rsid w:val="00BA1EF7"/>
    <w:rsid w:val="00BA207F"/>
    <w:rsid w:val="00BA20EC"/>
    <w:rsid w:val="00BA2974"/>
    <w:rsid w:val="00BA2F9E"/>
    <w:rsid w:val="00BA2FCD"/>
    <w:rsid w:val="00BA3434"/>
    <w:rsid w:val="00BA495E"/>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0812"/>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112"/>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38A"/>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6F39"/>
    <w:rsid w:val="00D27069"/>
    <w:rsid w:val="00D2724D"/>
    <w:rsid w:val="00D27882"/>
    <w:rsid w:val="00D278F6"/>
    <w:rsid w:val="00D310E9"/>
    <w:rsid w:val="00D31B62"/>
    <w:rsid w:val="00D31C2C"/>
    <w:rsid w:val="00D327F8"/>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11D4"/>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1910"/>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5C"/>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718"/>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3356"/>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0C"/>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2EC6"/>
    <w:rsid w:val="00FB3887"/>
    <w:rsid w:val="00FB3D27"/>
    <w:rsid w:val="00FB48A5"/>
    <w:rsid w:val="00FB586D"/>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4982E"/>
  <w15:chartTrackingRefBased/>
  <w15:docId w15:val="{0619B1C1-6CC1-4E11-A574-74B21C4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Heading2">
    <w:name w:val="heading 2"/>
    <w:aliases w:val="NEA2,2"/>
    <w:basedOn w:val="Normal"/>
    <w:next w:val="Normal"/>
    <w:link w:val="Heading2Char"/>
    <w:uiPriority w:val="99"/>
    <w:qFormat/>
    <w:rsid w:val="00807583"/>
    <w:pPr>
      <w:keepNext/>
      <w:numPr>
        <w:ilvl w:val="1"/>
        <w:numId w:val="9"/>
      </w:numPr>
      <w:spacing w:before="240" w:after="240"/>
      <w:outlineLvl w:val="1"/>
    </w:pPr>
    <w:rPr>
      <w:b/>
      <w:bCs/>
      <w:caps/>
      <w:color w:val="469FDD"/>
      <w:sz w:val="24"/>
      <w:szCs w:val="28"/>
    </w:rPr>
  </w:style>
  <w:style w:type="paragraph" w:styleId="Heading3">
    <w:name w:val="heading 3"/>
    <w:aliases w:val="Car Car,Car,NEA3,H3,0 Car"/>
    <w:basedOn w:val="Normal"/>
    <w:next w:val="Normal"/>
    <w:link w:val="Heading3Char"/>
    <w:uiPriority w:val="99"/>
    <w:qFormat/>
    <w:rsid w:val="00AA6F34"/>
    <w:pPr>
      <w:keepNext/>
      <w:numPr>
        <w:ilvl w:val="2"/>
        <w:numId w:val="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tabs>
        <w:tab w:val="num" w:pos="1008"/>
      </w:tabs>
      <w:spacing w:before="240" w:after="60"/>
      <w:ind w:left="1008" w:hanging="1008"/>
      <w:outlineLvl w:val="4"/>
    </w:pPr>
    <w:rPr>
      <w:b/>
      <w:bCs/>
      <w:i/>
      <w:iCs/>
      <w:sz w:val="26"/>
      <w:szCs w:val="26"/>
      <w:lang w:val="fr-FR"/>
    </w:rPr>
  </w:style>
  <w:style w:type="paragraph" w:styleId="Heading6">
    <w:name w:val="heading 6"/>
    <w:basedOn w:val="Normal"/>
    <w:next w:val="Normal"/>
    <w:link w:val="Heading6Char"/>
    <w:uiPriority w:val="99"/>
    <w:qFormat/>
    <w:rsid w:val="00AA6F3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tabs>
        <w:tab w:val="num" w:pos="1584"/>
      </w:tabs>
      <w:spacing w:before="240" w:after="60"/>
      <w:ind w:left="1584" w:hanging="1584"/>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672D1F"/>
    <w:rPr>
      <w:rFonts w:ascii="Open Sans" w:eastAsia="Times" w:hAnsi="Open Sans" w:cs="Open Sans"/>
      <w:b/>
      <w:bCs/>
      <w:color w:val="469FDD"/>
      <w:kern w:val="32"/>
      <w:sz w:val="22"/>
      <w:szCs w:val="56"/>
      <w:lang w:bidi="ar-SA"/>
    </w:rPr>
  </w:style>
  <w:style w:type="character" w:customStyle="1" w:styleId="Heading2Char">
    <w:name w:val="Heading 2 Char"/>
    <w:aliases w:val="NEA2 Char,2 Char"/>
    <w:link w:val="Heading2"/>
    <w:uiPriority w:val="99"/>
    <w:locked/>
    <w:rsid w:val="00807583"/>
    <w:rPr>
      <w:rFonts w:ascii="Open Sans" w:eastAsia="Times New Roman" w:hAnsi="Open Sans" w:cs="Calibri"/>
      <w:b/>
      <w:bCs/>
      <w:caps/>
      <w:color w:val="469FDD"/>
      <w:sz w:val="24"/>
      <w:szCs w:val="28"/>
      <w:lang w:val="en-GB" w:bidi="ar-SA"/>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uiPriority w:val="99"/>
    <w:semiHidden/>
    <w:rsid w:val="008579BD"/>
    <w:pPr>
      <w:spacing w:before="0" w:line="240" w:lineRule="auto"/>
    </w:pPr>
    <w:rPr>
      <w:sz w:val="18"/>
      <w:szCs w:val="18"/>
    </w:rPr>
  </w:style>
  <w:style w:type="character" w:customStyle="1" w:styleId="FootnoteTextChar">
    <w:name w:val="Footnote Text Char"/>
    <w:link w:val="FootnoteText"/>
    <w:uiPriority w:val="99"/>
    <w:locked/>
    <w:rsid w:val="008579BD"/>
    <w:rPr>
      <w:rFonts w:eastAsia="Times New Roman"/>
      <w:sz w:val="18"/>
      <w:szCs w:val="18"/>
      <w:lang w:val="x-none" w:eastAsia="fr-FR"/>
    </w:rPr>
  </w:style>
  <w:style w:type="character" w:styleId="FootnoteReference">
    <w:name w:val="footnote reference"/>
    <w:uiPriority w:val="99"/>
    <w:semiHidden/>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22"/>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basedOn w:val="Normal"/>
    <w:link w:val="ListParagraphChar"/>
    <w:uiPriority w:val="99"/>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link w:val="ListParagraph"/>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styleId="UnresolvedMention">
    <w:name w:val="Unresolved Mention"/>
    <w:basedOn w:val="DefaultParagraphFont"/>
    <w:uiPriority w:val="99"/>
    <w:semiHidden/>
    <w:unhideWhenUsed/>
    <w:rsid w:val="001F6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initiatives/ares-2019-5042663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A46B-03AC-452A-9FED-2870B068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4897</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5785</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Billaud, Mathilde</dc:creator>
  <cp:keywords/>
  <cp:lastModifiedBy>Basile Clot</cp:lastModifiedBy>
  <cp:revision>5</cp:revision>
  <cp:lastPrinted>2020-07-22T11:37:00Z</cp:lastPrinted>
  <dcterms:created xsi:type="dcterms:W3CDTF">2021-03-08T17:22:00Z</dcterms:created>
  <dcterms:modified xsi:type="dcterms:W3CDTF">2021-04-16T18:15:00Z</dcterms:modified>
</cp:coreProperties>
</file>