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1910" w14:textId="0F82E179" w:rsidR="00082399" w:rsidRPr="00BA495E" w:rsidRDefault="00261090" w:rsidP="00672D1F">
      <w:pPr>
        <w:pStyle w:val="Title"/>
        <w:rPr>
          <w:rFonts w:ascii="Oswald" w:hAnsi="Oswald"/>
          <w:b w:val="0"/>
          <w:bCs w:val="0"/>
          <w:color w:val="4196C6"/>
          <w:lang w:val="fr-FR"/>
        </w:rPr>
      </w:pPr>
      <w:bookmarkStart w:id="0" w:name="_Toc125278732"/>
      <w:r w:rsidRPr="00BA495E">
        <w:rPr>
          <w:rFonts w:ascii="Oswald" w:hAnsi="Oswald"/>
          <w:b w:val="0"/>
          <w:bCs w:val="0"/>
          <w:color w:val="4196C6"/>
          <w:lang w:val="fr-FR"/>
        </w:rPr>
        <w:t>Consultation Questionnaire</w:t>
      </w:r>
      <w:r w:rsidR="00082399" w:rsidRPr="00BA495E">
        <w:rPr>
          <w:rFonts w:ascii="Oswald" w:hAnsi="Oswald"/>
          <w:b w:val="0"/>
          <w:bCs w:val="0"/>
          <w:color w:val="4196C6"/>
          <w:lang w:val="fr-FR"/>
        </w:rPr>
        <w:t xml:space="preserve"> Exemption </w:t>
      </w:r>
      <w:r w:rsidR="00633D35">
        <w:rPr>
          <w:rFonts w:ascii="Oswald" w:hAnsi="Oswald"/>
          <w:b w:val="0"/>
          <w:bCs w:val="0"/>
          <w:color w:val="4196C6"/>
          <w:lang w:val="fr-FR"/>
        </w:rPr>
        <w:t>13b</w:t>
      </w:r>
      <w:r w:rsidR="00E63C39" w:rsidRPr="00E63C39">
        <w:rPr>
          <w:rFonts w:ascii="Oswald" w:hAnsi="Oswald"/>
          <w:b w:val="0"/>
          <w:bCs w:val="0"/>
          <w:color w:val="4196C6"/>
          <w:lang w:val="fr-FR"/>
        </w:rPr>
        <w:t xml:space="preserve"> of RoHS Annex III</w:t>
      </w:r>
    </w:p>
    <w:p w14:paraId="5E6BB7D2" w14:textId="0ACCB03B" w:rsidR="008E61BA" w:rsidRPr="008E61BA" w:rsidRDefault="008E61BA" w:rsidP="009F5D18">
      <w:pPr>
        <w:pStyle w:val="IntenseQuote"/>
        <w:rPr>
          <w:i w:val="0"/>
        </w:rPr>
      </w:pPr>
      <w:r w:rsidRPr="008E61BA">
        <w:rPr>
          <w:i w:val="0"/>
        </w:rPr>
        <w:t>Current wording of the exemption:</w:t>
      </w:r>
    </w:p>
    <w:p w14:paraId="29BF71F0" w14:textId="77777777" w:rsidR="00633D35" w:rsidRPr="00633D35" w:rsidRDefault="00633D35" w:rsidP="00633D35">
      <w:pPr>
        <w:pStyle w:val="IntenseQuote"/>
        <w:rPr>
          <w:sz w:val="21"/>
          <w:szCs w:val="21"/>
        </w:rPr>
      </w:pPr>
      <w:r w:rsidRPr="00633D35">
        <w:rPr>
          <w:sz w:val="21"/>
          <w:szCs w:val="21"/>
        </w:rPr>
        <w:t>For categories 1 - 7 and 10</w:t>
      </w:r>
    </w:p>
    <w:p w14:paraId="3082D437" w14:textId="77777777" w:rsidR="00633D35" w:rsidRPr="00633D35" w:rsidRDefault="00633D35" w:rsidP="00633D35">
      <w:pPr>
        <w:pStyle w:val="IntenseQuote"/>
        <w:rPr>
          <w:sz w:val="21"/>
          <w:szCs w:val="21"/>
        </w:rPr>
      </w:pPr>
      <w:r w:rsidRPr="00633D35">
        <w:rPr>
          <w:sz w:val="21"/>
          <w:szCs w:val="21"/>
        </w:rPr>
        <w:t>13b-I Lead in ion coloured optical filter glass types</w:t>
      </w:r>
    </w:p>
    <w:p w14:paraId="261400A9" w14:textId="77777777" w:rsidR="00633D35" w:rsidRPr="00633D35" w:rsidRDefault="00633D35" w:rsidP="00633D35">
      <w:pPr>
        <w:pStyle w:val="IntenseQuote"/>
        <w:rPr>
          <w:sz w:val="21"/>
          <w:szCs w:val="21"/>
        </w:rPr>
      </w:pPr>
      <w:r w:rsidRPr="00633D35">
        <w:rPr>
          <w:sz w:val="21"/>
          <w:szCs w:val="21"/>
        </w:rPr>
        <w:t>13b-II Cadmium in striking optical filter glass types; excluding applications falling under point 39 of this Annex</w:t>
      </w:r>
    </w:p>
    <w:p w14:paraId="686A17D7" w14:textId="77777777" w:rsidR="00633D35" w:rsidRPr="00633D35" w:rsidRDefault="00633D35" w:rsidP="00633D35">
      <w:pPr>
        <w:pStyle w:val="IntenseQuote"/>
        <w:rPr>
          <w:sz w:val="21"/>
          <w:szCs w:val="21"/>
        </w:rPr>
      </w:pPr>
      <w:r w:rsidRPr="00633D35">
        <w:rPr>
          <w:sz w:val="21"/>
          <w:szCs w:val="21"/>
        </w:rPr>
        <w:t>13b-III Cadmium and lead in glazes used for reflectance standards</w:t>
      </w:r>
    </w:p>
    <w:p w14:paraId="49217D64" w14:textId="77777777" w:rsidR="00633D35" w:rsidRPr="00633D35" w:rsidRDefault="00633D35" w:rsidP="00633D35">
      <w:pPr>
        <w:pStyle w:val="IntenseQuote"/>
        <w:rPr>
          <w:sz w:val="21"/>
          <w:szCs w:val="21"/>
        </w:rPr>
      </w:pPr>
      <w:r w:rsidRPr="00633D35">
        <w:rPr>
          <w:sz w:val="21"/>
          <w:szCs w:val="21"/>
        </w:rPr>
        <w:t>For categories 8, 9 and 11</w:t>
      </w:r>
    </w:p>
    <w:p w14:paraId="56DC110F" w14:textId="24D4453D" w:rsidR="00E63C39" w:rsidRDefault="00633D35" w:rsidP="00633D35">
      <w:pPr>
        <w:pStyle w:val="IntenseQuote"/>
        <w:rPr>
          <w:sz w:val="21"/>
          <w:szCs w:val="21"/>
        </w:rPr>
      </w:pPr>
      <w:r w:rsidRPr="00633D35">
        <w:rPr>
          <w:sz w:val="21"/>
          <w:szCs w:val="21"/>
        </w:rPr>
        <w:t>13b Cadmium and lead in filter glasses and glasses used for reflectance standards</w:t>
      </w:r>
    </w:p>
    <w:p w14:paraId="7019AACF" w14:textId="77777777" w:rsidR="00633D35" w:rsidRDefault="00633D35" w:rsidP="00E63C39">
      <w:pPr>
        <w:pStyle w:val="IntenseQuote"/>
      </w:pPr>
    </w:p>
    <w:p w14:paraId="42D0F0F2" w14:textId="227A7F6A" w:rsidR="00E63C39" w:rsidRDefault="008E61BA" w:rsidP="00E63C39">
      <w:pPr>
        <w:pStyle w:val="IntenseQuote"/>
      </w:pPr>
      <w:r>
        <w:t xml:space="preserve">Expires </w:t>
      </w:r>
      <w:r w:rsidR="00E63C39">
        <w:t>on:</w:t>
      </w:r>
    </w:p>
    <w:p w14:paraId="5076DCE0" w14:textId="70F128BE" w:rsidR="00633D35" w:rsidRPr="00633D35" w:rsidRDefault="00633D35" w:rsidP="00633D35">
      <w:pPr>
        <w:pStyle w:val="IntenseQuote"/>
        <w:jc w:val="left"/>
        <w:rPr>
          <w:b/>
        </w:rPr>
      </w:pPr>
      <w:r w:rsidRPr="00633D35">
        <w:rPr>
          <w:b/>
        </w:rPr>
        <w:t xml:space="preserve">13(b)-I, 13(b)-II, 13(b)-III: </w:t>
      </w:r>
      <w:r w:rsidRPr="00633D35">
        <w:t xml:space="preserve">21 July 2021 </w:t>
      </w:r>
    </w:p>
    <w:p w14:paraId="00014429" w14:textId="77777777" w:rsidR="00C55762" w:rsidRDefault="00633D35" w:rsidP="00633D35">
      <w:pPr>
        <w:pStyle w:val="IntenseQuote"/>
        <w:jc w:val="left"/>
        <w:rPr>
          <w:b/>
        </w:rPr>
      </w:pPr>
      <w:r w:rsidRPr="00633D35">
        <w:rPr>
          <w:b/>
        </w:rPr>
        <w:t>13(b):</w:t>
      </w:r>
      <w:r>
        <w:rPr>
          <w:b/>
        </w:rPr>
        <w:t xml:space="preserve"> </w:t>
      </w:r>
    </w:p>
    <w:p w14:paraId="46438F0C" w14:textId="5794BC1B" w:rsidR="00633D35" w:rsidRDefault="00633D35" w:rsidP="00633D35">
      <w:pPr>
        <w:pStyle w:val="IntenseQuote"/>
        <w:jc w:val="left"/>
      </w:pPr>
      <w:r>
        <w:t>— 21 July 2023 for category 8 in vitro diagnostic medical devices;</w:t>
      </w:r>
    </w:p>
    <w:p w14:paraId="5B2FCE19" w14:textId="77777777" w:rsidR="00633D35" w:rsidRDefault="00633D35" w:rsidP="00633D35">
      <w:pPr>
        <w:pStyle w:val="IntenseQuote"/>
        <w:jc w:val="left"/>
      </w:pPr>
      <w:r>
        <w:t>— 21 July 2024 for category 9 industrial monitoring and control instruments and for category 11;</w:t>
      </w:r>
    </w:p>
    <w:p w14:paraId="5F4CB904" w14:textId="5D1AD8EF" w:rsidR="00633D35" w:rsidRDefault="00633D35" w:rsidP="00633D35">
      <w:pPr>
        <w:pStyle w:val="IntenseQuote"/>
        <w:jc w:val="left"/>
      </w:pPr>
      <w:r>
        <w:t>— 21 July 2021 for other subcategories of categories 8 and 9</w:t>
      </w:r>
    </w:p>
    <w:p w14:paraId="6A011E77" w14:textId="77777777" w:rsidR="00633D35" w:rsidRPr="00633D35" w:rsidRDefault="00633D35" w:rsidP="00633D35"/>
    <w:p w14:paraId="6E36DA5D" w14:textId="77777777" w:rsidR="00E63C39" w:rsidRDefault="00E63C39" w:rsidP="00E63C39"/>
    <w:bookmarkEnd w:id="0"/>
    <w:p w14:paraId="3E3B0354" w14:textId="77777777" w:rsidR="00672D1F" w:rsidRPr="00672D1F" w:rsidRDefault="00672D1F" w:rsidP="00672D1F">
      <w:pPr>
        <w:pStyle w:val="Heading1"/>
      </w:pPr>
      <w:proofErr w:type="spellStart"/>
      <w:r w:rsidRPr="00672D1F">
        <w:t>Acronyms</w:t>
      </w:r>
      <w:proofErr w:type="spellEnd"/>
      <w:r w:rsidRPr="00672D1F">
        <w:t xml:space="preserve"> and </w:t>
      </w:r>
      <w:proofErr w:type="spellStart"/>
      <w:r w:rsidRPr="00672D1F">
        <w:t>Definitions</w:t>
      </w:r>
      <w:proofErr w:type="spellEnd"/>
    </w:p>
    <w:p w14:paraId="70CB3444" w14:textId="77777777" w:rsidR="00E63C39" w:rsidRPr="00877207" w:rsidRDefault="00E63C39" w:rsidP="00E63C39">
      <w:pPr>
        <w:ind w:left="1843" w:hanging="1843"/>
        <w:rPr>
          <w:rFonts w:ascii="Arial" w:hAnsi="Arial" w:cs="Arial"/>
          <w:sz w:val="22"/>
        </w:rPr>
      </w:pPr>
      <w:r w:rsidRPr="00877207">
        <w:rPr>
          <w:rFonts w:ascii="Arial" w:hAnsi="Arial" w:cs="Arial"/>
          <w:sz w:val="22"/>
        </w:rPr>
        <w:t>Cd</w:t>
      </w:r>
      <w:r w:rsidRPr="00877207">
        <w:rPr>
          <w:rFonts w:ascii="Arial" w:hAnsi="Arial" w:cs="Arial"/>
          <w:sz w:val="22"/>
        </w:rPr>
        <w:tab/>
        <w:t>Cadmium</w:t>
      </w:r>
    </w:p>
    <w:p w14:paraId="3782059A" w14:textId="6CDC4927" w:rsidR="00D26F39" w:rsidRPr="00C43163" w:rsidRDefault="00E63C39" w:rsidP="00C43163">
      <w:pPr>
        <w:ind w:left="1843" w:hanging="1843"/>
        <w:rPr>
          <w:rStyle w:val="Standard1"/>
          <w:sz w:val="22"/>
          <w:lang w:eastAsia="fr-FR"/>
        </w:rPr>
      </w:pPr>
      <w:r w:rsidRPr="00877207">
        <w:rPr>
          <w:rFonts w:ascii="Arial" w:hAnsi="Arial" w:cs="Arial"/>
          <w:sz w:val="22"/>
        </w:rPr>
        <w:t>Pb</w:t>
      </w:r>
      <w:r w:rsidRPr="00877207">
        <w:rPr>
          <w:rFonts w:ascii="Arial" w:hAnsi="Arial" w:cs="Arial"/>
          <w:sz w:val="22"/>
        </w:rPr>
        <w:tab/>
        <w:t>Lead</w:t>
      </w:r>
    </w:p>
    <w:p w14:paraId="3297A2EB" w14:textId="3BBA8A89" w:rsidR="00672D1F" w:rsidRPr="003757DA" w:rsidRDefault="00672D1F" w:rsidP="00672D1F">
      <w:pPr>
        <w:pStyle w:val="Heading1"/>
        <w:rPr>
          <w:rStyle w:val="Standard1"/>
          <w:rFonts w:ascii="Open Sans" w:hAnsi="Open Sans" w:cs="Open Sans"/>
          <w:lang w:val="en-US" w:eastAsia="fr-FR"/>
        </w:rPr>
      </w:pPr>
      <w:r w:rsidRPr="003757DA">
        <w:rPr>
          <w:rStyle w:val="Standard1"/>
          <w:rFonts w:ascii="Open Sans" w:hAnsi="Open Sans" w:cs="Open Sans"/>
          <w:lang w:val="en-US" w:eastAsia="fr-FR"/>
        </w:rPr>
        <w:lastRenderedPageBreak/>
        <w:t>Background</w:t>
      </w:r>
      <w:r w:rsidR="00C55762">
        <w:rPr>
          <w:rStyle w:val="Standard1"/>
          <w:rFonts w:ascii="Open Sans" w:hAnsi="Open Sans" w:cs="Open Sans"/>
          <w:lang w:val="en-US" w:eastAsia="fr-FR"/>
        </w:rPr>
        <w:t xml:space="preserve"> and Summary of the </w:t>
      </w:r>
      <w:proofErr w:type="spellStart"/>
      <w:r w:rsidR="00C55762">
        <w:rPr>
          <w:rStyle w:val="Standard1"/>
          <w:rFonts w:ascii="Open Sans" w:hAnsi="Open Sans" w:cs="Open Sans"/>
          <w:lang w:val="en-US" w:eastAsia="fr-FR"/>
        </w:rPr>
        <w:t>Exemtion</w:t>
      </w:r>
      <w:proofErr w:type="spellEnd"/>
      <w:r w:rsidR="00C55762">
        <w:rPr>
          <w:rStyle w:val="Standard1"/>
          <w:rFonts w:ascii="Open Sans" w:hAnsi="Open Sans" w:cs="Open Sans"/>
          <w:lang w:val="en-US" w:eastAsia="fr-FR"/>
        </w:rPr>
        <w:t xml:space="preserve"> Request</w:t>
      </w:r>
    </w:p>
    <w:p w14:paraId="7E51CFDC"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FootnoteReference"/>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23A0177F" w14:textId="10ACF436" w:rsidR="00672D1F" w:rsidRPr="00672D1F" w:rsidRDefault="00E63C39" w:rsidP="00672D1F">
      <w:pPr>
        <w:rPr>
          <w:rStyle w:val="Standard1"/>
          <w:rFonts w:ascii="Open Sans" w:hAnsi="Open Sans" w:cs="Open Sans"/>
          <w:lang w:eastAsia="fr-FR"/>
        </w:rPr>
      </w:pPr>
      <w:proofErr w:type="spellStart"/>
      <w:r w:rsidRPr="00E63C39">
        <w:rPr>
          <w:rStyle w:val="Standard1"/>
          <w:rFonts w:ascii="Open Sans" w:hAnsi="Open Sans" w:cs="Open Sans"/>
          <w:lang w:eastAsia="fr-FR"/>
        </w:rPr>
        <w:t>Spectaris</w:t>
      </w:r>
      <w:proofErr w:type="spellEnd"/>
      <w:r w:rsidRPr="00E63C39">
        <w:rPr>
          <w:rStyle w:val="Standard1"/>
          <w:rFonts w:ascii="Open Sans" w:hAnsi="Open Sans" w:cs="Open Sans"/>
          <w:lang w:eastAsia="fr-FR"/>
        </w:rPr>
        <w:t xml:space="preserve"> </w:t>
      </w:r>
      <w:proofErr w:type="spellStart"/>
      <w:r w:rsidRPr="00E63C39">
        <w:rPr>
          <w:rStyle w:val="Standard1"/>
          <w:rFonts w:ascii="Open Sans" w:hAnsi="Open Sans" w:cs="Open Sans"/>
          <w:lang w:eastAsia="fr-FR"/>
        </w:rPr>
        <w:t>e.V</w:t>
      </w:r>
      <w:proofErr w:type="spellEnd"/>
      <w:r w:rsidRPr="00E63C39">
        <w:rPr>
          <w:rStyle w:val="Standard1"/>
          <w:rFonts w:ascii="Open Sans" w:hAnsi="Open Sans" w:cs="Open Sans"/>
          <w:lang w:eastAsia="fr-FR"/>
        </w:rPr>
        <w:t>.</w:t>
      </w:r>
      <w:r w:rsidR="00672D1F" w:rsidRPr="00672D1F">
        <w:rPr>
          <w:rStyle w:val="Standard1"/>
          <w:rFonts w:ascii="Open Sans" w:hAnsi="Open Sans" w:cs="Open Sans"/>
          <w:lang w:eastAsia="fr-FR"/>
        </w:rPr>
        <w:t xml:space="preserve"> submitted </w:t>
      </w:r>
      <w:r w:rsidR="00D26F39">
        <w:rPr>
          <w:rStyle w:val="Standard1"/>
          <w:rFonts w:ascii="Open Sans" w:hAnsi="Open Sans" w:cs="Open Sans"/>
          <w:lang w:eastAsia="fr-FR"/>
        </w:rPr>
        <w:t xml:space="preserve">a </w:t>
      </w:r>
      <w:r w:rsidR="00672D1F" w:rsidRPr="00672D1F">
        <w:rPr>
          <w:rStyle w:val="Standard1"/>
          <w:rFonts w:ascii="Open Sans" w:hAnsi="Open Sans" w:cs="Open Sans"/>
          <w:lang w:eastAsia="fr-FR"/>
        </w:rPr>
        <w:t>request</w:t>
      </w:r>
      <w:bookmarkStart w:id="1" w:name="_Ref69496231"/>
      <w:r w:rsidR="00672D1F">
        <w:rPr>
          <w:rStyle w:val="FootnoteReference"/>
          <w:rFonts w:cs="Open Sans"/>
        </w:rPr>
        <w:footnoteReference w:id="3"/>
      </w:r>
      <w:bookmarkEnd w:id="1"/>
      <w:r w:rsidR="00672D1F" w:rsidRPr="00672D1F">
        <w:rPr>
          <w:rStyle w:val="Standard1"/>
          <w:rFonts w:ascii="Open Sans" w:hAnsi="Open Sans" w:cs="Open Sans"/>
          <w:lang w:eastAsia="fr-FR"/>
        </w:rPr>
        <w:t xml:space="preserve"> for the </w:t>
      </w:r>
      <w:r w:rsidR="008E61BA">
        <w:rPr>
          <w:rStyle w:val="Standard1"/>
          <w:rFonts w:ascii="Open Sans" w:hAnsi="Open Sans" w:cs="Open Sans"/>
          <w:lang w:eastAsia="fr-FR"/>
        </w:rPr>
        <w:t>renewal</w:t>
      </w:r>
      <w:r w:rsidR="00672D1F" w:rsidRPr="00672D1F">
        <w:rPr>
          <w:rStyle w:val="Standard1"/>
          <w:rFonts w:ascii="Open Sans" w:hAnsi="Open Sans" w:cs="Open Sans"/>
          <w:lang w:eastAsia="fr-FR"/>
        </w:rPr>
        <w:t xml:space="preserve"> of the above-mentioned exemption. The request has been subject to a first completeness and plausibility check. The applicant has been re-quested to answer additional questions and to provide additional information, available on the request webpage of the stakeholder consultation.</w:t>
      </w:r>
      <w:r w:rsidR="00672D1F">
        <w:rPr>
          <w:rStyle w:val="FootnoteReference"/>
          <w:rFonts w:cs="Open Sans"/>
        </w:rPr>
        <w:footnoteReference w:id="4"/>
      </w:r>
      <w:r w:rsidR="00672D1F" w:rsidRPr="00672D1F">
        <w:rPr>
          <w:rStyle w:val="Standard1"/>
          <w:rFonts w:ascii="Open Sans" w:hAnsi="Open Sans" w:cs="Open Sans"/>
          <w:lang w:eastAsia="fr-FR"/>
        </w:rPr>
        <w:t xml:space="preserve">  </w:t>
      </w:r>
    </w:p>
    <w:p w14:paraId="0846A282" w14:textId="77777777" w:rsidR="00C43163" w:rsidRPr="00C43163" w:rsidRDefault="00CA73AF" w:rsidP="00C55762">
      <w:pPr>
        <w:rPr>
          <w:rStyle w:val="Standard1"/>
          <w:rFonts w:ascii="Open Sans" w:hAnsi="Open Sans" w:cs="Open Sans"/>
          <w:szCs w:val="20"/>
          <w:lang w:eastAsia="fr-FR"/>
        </w:rPr>
      </w:pPr>
      <w:r w:rsidRPr="00CA73AF">
        <w:rPr>
          <w:rStyle w:val="Standard1"/>
          <w:rFonts w:ascii="Open Sans" w:hAnsi="Open Sans" w:cs="Open Sans"/>
          <w:szCs w:val="20"/>
          <w:lang w:eastAsia="fr-FR"/>
        </w:rPr>
        <w:t>According to the applicant</w:t>
      </w:r>
      <w:r>
        <w:rPr>
          <w:rStyle w:val="Standard1"/>
          <w:rFonts w:ascii="Open Sans" w:hAnsi="Open Sans" w:cs="Open Sans"/>
          <w:szCs w:val="20"/>
          <w:lang w:eastAsia="fr-FR"/>
        </w:rPr>
        <w:t>:</w:t>
      </w:r>
      <w:r w:rsidRPr="00CA73AF">
        <w:rPr>
          <w:rStyle w:val="Standard1"/>
          <w:rFonts w:ascii="Open Sans" w:hAnsi="Open Sans" w:cs="Open Sans"/>
          <w:szCs w:val="20"/>
          <w:lang w:eastAsia="fr-FR"/>
        </w:rPr>
        <w:t xml:space="preserve"> </w:t>
      </w:r>
      <w:r>
        <w:rPr>
          <w:rStyle w:val="Standard1"/>
          <w:rFonts w:ascii="Open Sans" w:hAnsi="Open Sans" w:cs="Open Sans"/>
          <w:szCs w:val="20"/>
          <w:lang w:eastAsia="fr-FR"/>
        </w:rPr>
        <w:t>“</w:t>
      </w:r>
      <w:r w:rsidR="00C43163" w:rsidRPr="00C43163">
        <w:rPr>
          <w:rStyle w:val="Standard1"/>
          <w:rFonts w:ascii="Open Sans" w:hAnsi="Open Sans" w:cs="Open Sans"/>
          <w:szCs w:val="20"/>
          <w:lang w:eastAsia="fr-FR"/>
        </w:rPr>
        <w:t>This exemption renewal request is for the use of cadmium and lead in optical filter glass that is used in electrical and electronic equipment. There are many types of optical filter glass whose batch contains cadmium, but only a few formulations whose batch contains lead with only one filter glass whose batch contains lead being regularly manufactured. These types of optical filters are used in a very wide variety of optical applications and in many different types of equipment. These materials are used because of their unique optical properties, such as “sharp cut-off” in the visible spectrum that is unaffected by viewing angle. They are also very stable in harsh environments. Most of the alternatives to glass with cadmium and/or lead in the batch do not exhibit such sharp wavelength “cut-offs”. Interference filters can sometimes be used as they do have sharp cut offs but the wavelength at which this occurs is viewing angle dependent and so these are unsuitable for many applications. Most of the apparent alternatives are detrimentally affected by harsh environmental conditions such as heat, moisture, UV light, etc. which makes them unsuitable for many applications.</w:t>
      </w:r>
    </w:p>
    <w:p w14:paraId="7F3F8983" w14:textId="4AFFB9AA" w:rsidR="00672D1F" w:rsidRPr="00672D1F" w:rsidRDefault="00C43163" w:rsidP="00C55762">
      <w:pPr>
        <w:rPr>
          <w:rStyle w:val="Standard1"/>
          <w:rFonts w:ascii="Open Sans" w:hAnsi="Open Sans" w:cs="Open Sans"/>
          <w:lang w:eastAsia="fr-FR"/>
        </w:rPr>
      </w:pPr>
      <w:r w:rsidRPr="00C43163">
        <w:rPr>
          <w:rStyle w:val="Standard1"/>
          <w:rFonts w:ascii="Open Sans" w:hAnsi="Open Sans" w:cs="Open Sans"/>
          <w:szCs w:val="20"/>
          <w:lang w:eastAsia="fr-FR"/>
        </w:rPr>
        <w:t>A special type of infrared interference filter is also used that contains lead for analysis of low concentrations of gas. These are a different design to the filters to the types used for visible light wavelengths.</w:t>
      </w:r>
      <w:r>
        <w:rPr>
          <w:rStyle w:val="Standard1"/>
          <w:rFonts w:ascii="Open Sans" w:hAnsi="Open Sans" w:cs="Open Sans"/>
          <w:szCs w:val="20"/>
          <w:lang w:eastAsia="fr-FR"/>
        </w:rPr>
        <w:t>”</w:t>
      </w:r>
    </w:p>
    <w:p w14:paraId="438B67FE"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FootnoteReference"/>
          <w:rFonts w:cs="Open Sans"/>
        </w:rPr>
        <w:footnoteReference w:id="5"/>
      </w:r>
      <w:r w:rsidRPr="00672D1F">
        <w:rPr>
          <w:rStyle w:val="Standard1"/>
          <w:rFonts w:ascii="Open Sans" w:hAnsi="Open Sans" w:cs="Open Sans"/>
          <w:lang w:eastAsia="fr-FR"/>
        </w:rPr>
        <w:t xml:space="preserve"> </w:t>
      </w:r>
    </w:p>
    <w:p w14:paraId="5621496C" w14:textId="51B1C20F"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the below questions until </w:t>
      </w:r>
      <w:r w:rsidR="00D85810">
        <w:rPr>
          <w:rStyle w:val="Standard1"/>
          <w:rFonts w:ascii="Open Sans" w:hAnsi="Open Sans" w:cs="Open Sans"/>
          <w:lang w:eastAsia="fr-FR"/>
        </w:rPr>
        <w:t>the 27</w:t>
      </w:r>
      <w:r w:rsidR="00D85810" w:rsidRPr="00D85810">
        <w:rPr>
          <w:rStyle w:val="Standard1"/>
          <w:rFonts w:ascii="Open Sans" w:hAnsi="Open Sans" w:cs="Open Sans"/>
          <w:vertAlign w:val="superscript"/>
          <w:lang w:eastAsia="fr-FR"/>
        </w:rPr>
        <w:t>th</w:t>
      </w:r>
      <w:r w:rsidR="00D85810">
        <w:rPr>
          <w:rStyle w:val="Standard1"/>
          <w:rFonts w:ascii="Open Sans" w:hAnsi="Open Sans" w:cs="Open Sans"/>
          <w:lang w:eastAsia="fr-FR"/>
        </w:rPr>
        <w:t xml:space="preserve"> of May 2020.</w:t>
      </w:r>
    </w:p>
    <w:p w14:paraId="560A9F61" w14:textId="77777777" w:rsidR="00672D1F" w:rsidRPr="009F5D18" w:rsidRDefault="00672D1F" w:rsidP="00D05732">
      <w:pPr>
        <w:pStyle w:val="Heading1"/>
        <w:rPr>
          <w:rStyle w:val="Standard1"/>
          <w:rFonts w:ascii="Open Sans" w:hAnsi="Open Sans" w:cs="Open Sans"/>
          <w:lang w:eastAsia="fr-FR"/>
        </w:rPr>
      </w:pPr>
      <w:r w:rsidRPr="009F5D18">
        <w:rPr>
          <w:rStyle w:val="Standard1"/>
          <w:rFonts w:ascii="Open Sans" w:hAnsi="Open Sans" w:cs="Open Sans"/>
          <w:lang w:eastAsia="fr-FR"/>
        </w:rPr>
        <w:t>Questions</w:t>
      </w:r>
    </w:p>
    <w:p w14:paraId="4D4CBF11" w14:textId="30FDE101" w:rsidR="00EE3356" w:rsidRPr="00030DA2" w:rsidRDefault="008A3F81" w:rsidP="006B76A5">
      <w:pPr>
        <w:numPr>
          <w:ilvl w:val="0"/>
          <w:numId w:val="28"/>
        </w:numPr>
        <w:rPr>
          <w:rStyle w:val="Standard1"/>
          <w:rFonts w:ascii="Open Sans" w:hAnsi="Open Sans" w:cs="Open Sans"/>
          <w:lang w:eastAsia="fr-FR"/>
        </w:rPr>
      </w:pPr>
      <w:bookmarkStart w:id="2" w:name="_Ref50047031"/>
      <w:proofErr w:type="spellStart"/>
      <w:r w:rsidRPr="00030DA2">
        <w:rPr>
          <w:rStyle w:val="Standard1"/>
          <w:rFonts w:ascii="Open Sans" w:hAnsi="Open Sans" w:cs="Open Sans"/>
          <w:lang w:eastAsia="fr-FR"/>
        </w:rPr>
        <w:t>Spectaris</w:t>
      </w:r>
      <w:proofErr w:type="spellEnd"/>
      <w:r w:rsidRPr="00030DA2">
        <w:rPr>
          <w:rStyle w:val="Standard1"/>
          <w:rFonts w:ascii="Open Sans" w:hAnsi="Open Sans" w:cs="Open Sans"/>
          <w:lang w:eastAsia="fr-FR"/>
        </w:rPr>
        <w:t xml:space="preserve"> </w:t>
      </w:r>
      <w:proofErr w:type="spellStart"/>
      <w:r w:rsidRPr="00030DA2">
        <w:rPr>
          <w:rStyle w:val="Standard1"/>
          <w:rFonts w:ascii="Open Sans" w:hAnsi="Open Sans" w:cs="Open Sans"/>
          <w:lang w:eastAsia="fr-FR"/>
        </w:rPr>
        <w:t>e.V</w:t>
      </w:r>
      <w:proofErr w:type="spellEnd"/>
      <w:r w:rsidRPr="00030DA2">
        <w:rPr>
          <w:rStyle w:val="Standard1"/>
          <w:rFonts w:ascii="Open Sans" w:hAnsi="Open Sans" w:cs="Open Sans"/>
          <w:lang w:eastAsia="fr-FR"/>
        </w:rPr>
        <w:t>.</w:t>
      </w:r>
      <w:r w:rsidR="008E61BA" w:rsidRPr="00030DA2">
        <w:rPr>
          <w:rStyle w:val="Standard1"/>
          <w:rFonts w:ascii="Open Sans" w:hAnsi="Open Sans" w:cs="Open Sans"/>
          <w:lang w:eastAsia="fr-FR"/>
        </w:rPr>
        <w:t xml:space="preserve"> </w:t>
      </w:r>
      <w:r w:rsidR="00672D1F" w:rsidRPr="00030DA2">
        <w:rPr>
          <w:rStyle w:val="Standard1"/>
          <w:rFonts w:ascii="Open Sans" w:hAnsi="Open Sans" w:cs="Open Sans"/>
          <w:lang w:eastAsia="fr-FR"/>
        </w:rPr>
        <w:t>requested the renewal</w:t>
      </w:r>
      <w:r w:rsidR="00FE069E">
        <w:rPr>
          <w:rStyle w:val="Standard1"/>
          <w:rFonts w:ascii="Open Sans" w:hAnsi="Open Sans" w:cs="Open Sans"/>
          <w:lang w:eastAsia="fr-FR"/>
        </w:rPr>
        <w:fldChar w:fldCharType="begin"/>
      </w:r>
      <w:r w:rsidR="00FE069E">
        <w:rPr>
          <w:rStyle w:val="Standard1"/>
          <w:rFonts w:ascii="Open Sans" w:hAnsi="Open Sans" w:cs="Open Sans"/>
          <w:lang w:eastAsia="fr-FR"/>
        </w:rPr>
        <w:instrText xml:space="preserve"> NOTEREF _Ref69496231 \f \h </w:instrText>
      </w:r>
      <w:r w:rsidR="00FE069E">
        <w:rPr>
          <w:rStyle w:val="Standard1"/>
          <w:rFonts w:ascii="Open Sans" w:hAnsi="Open Sans" w:cs="Open Sans"/>
          <w:lang w:eastAsia="fr-FR"/>
        </w:rPr>
      </w:r>
      <w:r w:rsidR="00FE069E">
        <w:rPr>
          <w:rStyle w:val="Standard1"/>
          <w:rFonts w:ascii="Open Sans" w:hAnsi="Open Sans" w:cs="Open Sans"/>
          <w:lang w:eastAsia="fr-FR"/>
        </w:rPr>
        <w:fldChar w:fldCharType="separate"/>
      </w:r>
      <w:r w:rsidR="00FE069E" w:rsidRPr="00FE069E">
        <w:rPr>
          <w:rStyle w:val="FootnoteReference"/>
        </w:rPr>
        <w:t>2</w:t>
      </w:r>
      <w:r w:rsidR="00FE069E">
        <w:rPr>
          <w:rStyle w:val="Standard1"/>
          <w:rFonts w:ascii="Open Sans" w:hAnsi="Open Sans" w:cs="Open Sans"/>
          <w:lang w:eastAsia="fr-FR"/>
        </w:rPr>
        <w:fldChar w:fldCharType="end"/>
      </w:r>
      <w:r w:rsidR="00672D1F" w:rsidRPr="00030DA2">
        <w:rPr>
          <w:rStyle w:val="Standard1"/>
          <w:rFonts w:ascii="Open Sans" w:hAnsi="Open Sans" w:cs="Open Sans"/>
          <w:lang w:eastAsia="fr-FR"/>
        </w:rPr>
        <w:t xml:space="preserve"> </w:t>
      </w:r>
      <w:r w:rsidR="008E61BA" w:rsidRPr="00030DA2">
        <w:rPr>
          <w:rStyle w:val="Standard1"/>
          <w:rFonts w:ascii="Open Sans" w:hAnsi="Open Sans" w:cs="Open Sans"/>
          <w:lang w:eastAsia="fr-FR"/>
        </w:rPr>
        <w:t>of the above</w:t>
      </w:r>
      <w:r w:rsidR="00672D1F" w:rsidRPr="00030DA2">
        <w:rPr>
          <w:rStyle w:val="Standard1"/>
          <w:rFonts w:ascii="Open Sans" w:hAnsi="Open Sans" w:cs="Open Sans"/>
          <w:lang w:eastAsia="fr-FR"/>
        </w:rPr>
        <w:t xml:space="preserve"> exemption</w:t>
      </w:r>
      <w:r w:rsidR="00543E0E" w:rsidRPr="00030DA2">
        <w:rPr>
          <w:rStyle w:val="Standard1"/>
          <w:rFonts w:ascii="Open Sans" w:hAnsi="Open Sans" w:cs="Open Sans"/>
          <w:lang w:eastAsia="fr-FR"/>
        </w:rPr>
        <w:t xml:space="preserve"> </w:t>
      </w:r>
      <w:r w:rsidR="00D26F39" w:rsidRPr="00030DA2">
        <w:rPr>
          <w:rStyle w:val="Standard1"/>
          <w:rFonts w:ascii="Open Sans" w:hAnsi="Open Sans" w:cs="Open Sans"/>
          <w:lang w:eastAsia="fr-FR"/>
        </w:rPr>
        <w:t xml:space="preserve">for </w:t>
      </w:r>
      <w:r w:rsidRPr="00030DA2">
        <w:rPr>
          <w:rStyle w:val="Standard1"/>
          <w:rFonts w:ascii="Open Sans" w:hAnsi="Open Sans" w:cs="Open Sans"/>
          <w:lang w:eastAsia="fr-FR"/>
        </w:rPr>
        <w:t>the maximum validity periods</w:t>
      </w:r>
      <w:r w:rsidR="006B76A5" w:rsidRPr="00030DA2">
        <w:rPr>
          <w:rStyle w:val="Standard1"/>
          <w:rFonts w:ascii="Open Sans" w:hAnsi="Open Sans" w:cs="Open Sans"/>
          <w:lang w:eastAsia="fr-FR"/>
        </w:rPr>
        <w:t xml:space="preserve"> (5 and 7 years respectively)</w:t>
      </w:r>
      <w:r w:rsidRPr="00030DA2">
        <w:rPr>
          <w:rStyle w:val="Standard1"/>
          <w:rFonts w:ascii="Open Sans" w:hAnsi="Open Sans" w:cs="Open Sans"/>
          <w:lang w:eastAsia="fr-FR"/>
        </w:rPr>
        <w:t xml:space="preserve"> </w:t>
      </w:r>
      <w:r w:rsidR="00EE3356" w:rsidRPr="00030DA2">
        <w:rPr>
          <w:rStyle w:val="Standard1"/>
          <w:rFonts w:ascii="Open Sans" w:hAnsi="Open Sans" w:cs="Open Sans"/>
          <w:lang w:eastAsia="fr-FR"/>
        </w:rPr>
        <w:t xml:space="preserve">for </w:t>
      </w:r>
      <w:r w:rsidR="009674F9">
        <w:rPr>
          <w:rStyle w:val="Standard1"/>
          <w:rFonts w:ascii="Open Sans" w:hAnsi="Open Sans" w:cs="Open Sans"/>
          <w:lang w:eastAsia="fr-FR"/>
        </w:rPr>
        <w:t>all</w:t>
      </w:r>
      <w:r w:rsidRPr="00030DA2">
        <w:rPr>
          <w:rStyle w:val="Standard1"/>
          <w:rFonts w:ascii="Open Sans" w:hAnsi="Open Sans" w:cs="Open Sans"/>
          <w:lang w:eastAsia="fr-FR"/>
        </w:rPr>
        <w:t xml:space="preserve"> </w:t>
      </w:r>
      <w:proofErr w:type="gramStart"/>
      <w:r w:rsidR="00EE3356" w:rsidRPr="00030DA2">
        <w:rPr>
          <w:rStyle w:val="Standard1"/>
          <w:rFonts w:ascii="Open Sans" w:hAnsi="Open Sans" w:cs="Open Sans"/>
          <w:lang w:eastAsia="fr-FR"/>
        </w:rPr>
        <w:t>cat</w:t>
      </w:r>
      <w:proofErr w:type="gramEnd"/>
      <w:r w:rsidR="00EE3356" w:rsidRPr="00030DA2">
        <w:rPr>
          <w:rStyle w:val="Standard1"/>
          <w:rFonts w:ascii="Open Sans" w:hAnsi="Open Sans" w:cs="Open Sans"/>
          <w:lang w:eastAsia="fr-FR"/>
        </w:rPr>
        <w:t xml:space="preserve">. </w:t>
      </w:r>
      <w:r w:rsidRPr="00030DA2">
        <w:rPr>
          <w:rStyle w:val="Standard1"/>
          <w:rFonts w:ascii="Open Sans" w:hAnsi="Open Sans" w:cs="Open Sans"/>
          <w:lang w:eastAsia="fr-FR"/>
        </w:rPr>
        <w:t>1-11</w:t>
      </w:r>
      <w:r w:rsidR="00D26F39" w:rsidRPr="00030DA2">
        <w:rPr>
          <w:rStyle w:val="Standard1"/>
          <w:rFonts w:ascii="Open Sans" w:hAnsi="Open Sans" w:cs="Open Sans"/>
          <w:lang w:eastAsia="fr-FR"/>
        </w:rPr>
        <w:t xml:space="preserve"> </w:t>
      </w:r>
      <w:r w:rsidRPr="00030DA2">
        <w:rPr>
          <w:rStyle w:val="Standard1"/>
          <w:rFonts w:ascii="Open Sans" w:hAnsi="Open Sans" w:cs="Open Sans"/>
          <w:lang w:eastAsia="fr-FR"/>
        </w:rPr>
        <w:t>with the same scope and wording</w:t>
      </w:r>
      <w:bookmarkEnd w:id="2"/>
      <w:r w:rsidRPr="00030DA2">
        <w:rPr>
          <w:rStyle w:val="Standard1"/>
          <w:rFonts w:ascii="Open Sans" w:hAnsi="Open Sans" w:cs="Open Sans"/>
          <w:lang w:eastAsia="fr-FR"/>
        </w:rPr>
        <w:t>.</w:t>
      </w:r>
    </w:p>
    <w:p w14:paraId="0FB8AD8A" w14:textId="77777777" w:rsidR="00D05732" w:rsidRDefault="00672D1F" w:rsidP="00CF0A01">
      <w:pPr>
        <w:numPr>
          <w:ilvl w:val="1"/>
          <w:numId w:val="30"/>
        </w:numPr>
        <w:rPr>
          <w:rStyle w:val="Standard1"/>
          <w:rFonts w:ascii="Open Sans" w:hAnsi="Open Sans" w:cs="Open Sans"/>
          <w:lang w:eastAsia="fr-FR"/>
        </w:rPr>
      </w:pPr>
      <w:r w:rsidRPr="00030DA2">
        <w:rPr>
          <w:rStyle w:val="Standard1"/>
          <w:rFonts w:ascii="Open Sans" w:hAnsi="Open Sans" w:cs="Open Sans"/>
          <w:lang w:eastAsia="fr-FR"/>
        </w:rPr>
        <w:t>Please let us know whether you support or disagree with the wording, scope and</w:t>
      </w:r>
      <w:r w:rsidRPr="00D05732">
        <w:rPr>
          <w:rStyle w:val="Standard1"/>
          <w:rFonts w:ascii="Open Sans" w:hAnsi="Open Sans" w:cs="Open Sans"/>
          <w:lang w:eastAsia="fr-FR"/>
        </w:rPr>
        <w:t xml:space="preserve"> re-quested duration of the exemption. To support your views, please provide detailed technical argumentation / evidence in line with the criteria4 in Art. 5(1)(a).</w:t>
      </w:r>
    </w:p>
    <w:p w14:paraId="3AE638D0"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70231A80" w14:textId="3220377E" w:rsidR="00CF138A" w:rsidRDefault="00CF138A" w:rsidP="008A3F81">
      <w:pPr>
        <w:rPr>
          <w:rStyle w:val="Standard1"/>
          <w:rFonts w:ascii="Open Sans" w:hAnsi="Open Sans" w:cs="Open Sans"/>
          <w:lang w:eastAsia="fr-FR"/>
        </w:rPr>
      </w:pPr>
    </w:p>
    <w:p w14:paraId="2D1E4773" w14:textId="39B5C8C2"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 xml:space="preserve">Please provide information concerning possible substitutes or elimination possibilities at present or in the future so that the requested exemption could be restricted or revoked. </w:t>
      </w:r>
    </w:p>
    <w:p w14:paraId="7DA7CFFB"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29E2BBC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7A4ABB33"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lastRenderedPageBreak/>
        <w:t xml:space="preserve">Please provide a roadmap of such on-going substitution/elimination and research (phases that are to be carried out), detailing the current status as well as the estimated time needed for further stages. </w:t>
      </w:r>
    </w:p>
    <w:p w14:paraId="0A2C10B5" w14:textId="77777777" w:rsidR="00EE3356" w:rsidRDefault="00EE3356" w:rsidP="00EE3356">
      <w:pPr>
        <w:ind w:left="720"/>
        <w:rPr>
          <w:rStyle w:val="Standard1"/>
          <w:rFonts w:ascii="Open Sans" w:hAnsi="Open Sans" w:cs="Open Sans"/>
          <w:lang w:eastAsia="fr-FR"/>
        </w:rPr>
      </w:pPr>
    </w:p>
    <w:p w14:paraId="1FFC81AD" w14:textId="04534934"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184829B8" w14:textId="77777777" w:rsidR="00EE3356" w:rsidRDefault="00EE3356" w:rsidP="00EE3356">
      <w:pPr>
        <w:ind w:left="720"/>
        <w:rPr>
          <w:rStyle w:val="Standard1"/>
          <w:rFonts w:ascii="Open Sans" w:hAnsi="Open Sans" w:cs="Open Sans"/>
          <w:lang w:eastAsia="fr-FR"/>
        </w:rPr>
      </w:pPr>
    </w:p>
    <w:p w14:paraId="35077DEC" w14:textId="0A5C76D9"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7B76A9C9"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125C892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030707E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3FC79F48" w14:textId="1ABE4789"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w:t>
      </w:r>
      <w:r w:rsidR="00543E0E">
        <w:rPr>
          <w:rStyle w:val="Standard1"/>
          <w:rFonts w:ascii="Open Sans" w:hAnsi="Open Sans" w:cs="Open Sans"/>
          <w:lang w:eastAsia="fr-FR"/>
        </w:rPr>
        <w:t>, public, indus</w:t>
      </w:r>
      <w:r w:rsidRPr="00672D1F">
        <w:rPr>
          <w:rStyle w:val="Standard1"/>
          <w:rFonts w:ascii="Open Sans" w:hAnsi="Open Sans" w:cs="Open Sans"/>
          <w:lang w:eastAsia="fr-FR"/>
        </w:rPr>
        <w:t>try: manufacturers, suppliers, retailers).</w:t>
      </w:r>
    </w:p>
    <w:p w14:paraId="7EDB66FF" w14:textId="77777777" w:rsidR="00EE3356" w:rsidRDefault="00EE3356" w:rsidP="00EE3356">
      <w:pPr>
        <w:ind w:left="720"/>
        <w:rPr>
          <w:rStyle w:val="Standard1"/>
          <w:rFonts w:ascii="Open Sans" w:hAnsi="Open Sans" w:cs="Open Sans"/>
          <w:lang w:eastAsia="fr-FR"/>
        </w:rPr>
      </w:pPr>
    </w:p>
    <w:p w14:paraId="3C16DCD0" w14:textId="09F97B74" w:rsidR="00C55762" w:rsidRPr="00030DA2" w:rsidRDefault="00372F1C" w:rsidP="00030DA2">
      <w:pPr>
        <w:numPr>
          <w:ilvl w:val="0"/>
          <w:numId w:val="35"/>
        </w:numPr>
        <w:rPr>
          <w:rStyle w:val="Standard1"/>
          <w:rFonts w:ascii="Open Sans" w:hAnsi="Open Sans" w:cs="Open Sans"/>
          <w:lang w:eastAsia="fr-FR"/>
        </w:rPr>
      </w:pPr>
      <w:r w:rsidRPr="00030DA2">
        <w:rPr>
          <w:rStyle w:val="Standard1"/>
          <w:rFonts w:ascii="Open Sans" w:hAnsi="Open Sans" w:cs="Open Sans"/>
          <w:lang w:eastAsia="fr-FR"/>
        </w:rPr>
        <w:t>The applicant has marked every category (from 1 to 11) as relevant</w:t>
      </w:r>
      <w:r w:rsidR="00C55762" w:rsidRPr="00030DA2">
        <w:rPr>
          <w:rStyle w:val="Standard1"/>
          <w:rFonts w:ascii="Open Sans" w:hAnsi="Open Sans" w:cs="Open Sans"/>
          <w:lang w:eastAsia="fr-FR"/>
        </w:rPr>
        <w:t xml:space="preserve"> for this exemption</w:t>
      </w:r>
      <w:r w:rsidRPr="00030DA2">
        <w:rPr>
          <w:rStyle w:val="Standard1"/>
          <w:rFonts w:ascii="Open Sans" w:hAnsi="Open Sans" w:cs="Open Sans"/>
          <w:lang w:eastAsia="fr-FR"/>
        </w:rPr>
        <w:t xml:space="preserve">. </w:t>
      </w:r>
    </w:p>
    <w:p w14:paraId="10AC6E9D" w14:textId="4E84882A" w:rsidR="00372F1C" w:rsidRPr="00030DA2" w:rsidRDefault="00372F1C" w:rsidP="00030DA2">
      <w:pPr>
        <w:ind w:left="720"/>
        <w:rPr>
          <w:rStyle w:val="Standard1"/>
          <w:rFonts w:ascii="Open Sans" w:hAnsi="Open Sans" w:cs="Open Sans"/>
          <w:lang w:eastAsia="fr-FR"/>
        </w:rPr>
      </w:pPr>
      <w:r w:rsidRPr="00030DA2">
        <w:rPr>
          <w:rStyle w:val="Standard1"/>
          <w:rFonts w:ascii="Open Sans" w:hAnsi="Open Sans" w:cs="Open Sans"/>
          <w:lang w:eastAsia="fr-FR"/>
        </w:rPr>
        <w:t>Are you aware of applications in categories 1 and 2 (large household appliances, small household appliances)</w:t>
      </w:r>
      <w:r w:rsidR="00C55762" w:rsidRPr="00030DA2">
        <w:rPr>
          <w:rStyle w:val="Standard1"/>
          <w:rFonts w:ascii="Open Sans" w:hAnsi="Open Sans" w:cs="Open Sans"/>
          <w:lang w:eastAsia="fr-FR"/>
        </w:rPr>
        <w:t xml:space="preserve"> and 11 where this exemption would be relevant</w:t>
      </w:r>
      <w:r w:rsidRPr="00030DA2">
        <w:rPr>
          <w:rStyle w:val="Standard1"/>
          <w:rFonts w:ascii="Open Sans" w:hAnsi="Open Sans" w:cs="Open Sans"/>
          <w:lang w:eastAsia="fr-FR"/>
        </w:rPr>
        <w:t>?</w:t>
      </w:r>
    </w:p>
    <w:p w14:paraId="5BB6A000" w14:textId="77777777" w:rsidR="00030DA2" w:rsidRDefault="00030DA2" w:rsidP="00030DA2">
      <w:pPr>
        <w:ind w:left="720"/>
        <w:rPr>
          <w:rStyle w:val="Standard1"/>
          <w:rFonts w:ascii="Open Sans" w:hAnsi="Open Sans" w:cs="Open Sans"/>
          <w:lang w:eastAsia="fr-FR"/>
        </w:rPr>
      </w:pPr>
    </w:p>
    <w:p w14:paraId="68366FFD" w14:textId="633DFA42" w:rsidR="00672D1F" w:rsidRPr="00672D1F" w:rsidRDefault="00EE3356"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t>Any additional information which you would like to provide?</w:t>
      </w:r>
    </w:p>
    <w:p w14:paraId="0B731DCC" w14:textId="77777777" w:rsidR="008545B3" w:rsidRDefault="008545B3" w:rsidP="00672D1F">
      <w:pPr>
        <w:rPr>
          <w:rStyle w:val="Standard1"/>
          <w:rFonts w:ascii="Open Sans" w:hAnsi="Open Sans" w:cs="Open Sans"/>
          <w:lang w:eastAsia="fr-FR"/>
        </w:rPr>
      </w:pPr>
    </w:p>
    <w:p w14:paraId="5A4AC944" w14:textId="77777777" w:rsidR="00672D1F"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02180B5A" w14:textId="77777777" w:rsidR="00EE7D6A"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 xml:space="preserve">Please do not forget to provide your contact details (Name, Organisation, e-mail and phone number) so that </w:t>
      </w:r>
      <w:r w:rsidR="00D05732" w:rsidRPr="00EE3356">
        <w:rPr>
          <w:rStyle w:val="Standard1"/>
          <w:rFonts w:ascii="Open Sans" w:hAnsi="Open Sans" w:cs="Open Sans"/>
          <w:b/>
          <w:lang w:eastAsia="fr-FR"/>
        </w:rPr>
        <w:t xml:space="preserve">the project team </w:t>
      </w:r>
      <w:r w:rsidRPr="00EE3356">
        <w:rPr>
          <w:rStyle w:val="Standard1"/>
          <w:rFonts w:ascii="Open Sans" w:hAnsi="Open Sans" w:cs="Open Sans"/>
          <w:b/>
          <w:lang w:eastAsia="fr-FR"/>
        </w:rPr>
        <w:t>can contact you in case there are questions concerning your contribution.</w:t>
      </w:r>
    </w:p>
    <w:sectPr w:rsidR="00EE7D6A" w:rsidRPr="00EE3356" w:rsidSect="00950A63">
      <w:headerReference w:type="even" r:id="rId8"/>
      <w:headerReference w:type="default" r:id="rId9"/>
      <w:footerReference w:type="even" r:id="rId10"/>
      <w:footerReference w:type="default" r:id="rId11"/>
      <w:headerReference w:type="first" r:id="rId12"/>
      <w:footerReference w:type="first" r:id="rId13"/>
      <w:pgSz w:w="11906" w:h="16838" w:code="9"/>
      <w:pgMar w:top="1097" w:right="851" w:bottom="851" w:left="851" w:header="284" w:footer="46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4252" w14:textId="77777777" w:rsidR="00A11251" w:rsidRDefault="00A11251" w:rsidP="00AA6F34">
      <w:pPr>
        <w:spacing w:before="0" w:line="240" w:lineRule="auto"/>
        <w:rPr>
          <w:rFonts w:cs="Times New Roman"/>
        </w:rPr>
      </w:pPr>
      <w:r>
        <w:rPr>
          <w:rFonts w:cs="Times New Roman"/>
        </w:rPr>
        <w:separator/>
      </w:r>
    </w:p>
  </w:endnote>
  <w:endnote w:type="continuationSeparator" w:id="0">
    <w:p w14:paraId="228F1AF6" w14:textId="77777777" w:rsidR="00A11251" w:rsidRDefault="00A11251"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3"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swald">
    <w:altName w:val="Cambria Math"/>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8A308B4" w14:textId="77777777" w:rsidTr="00CF0A01">
      <w:trPr>
        <w:jc w:val="center"/>
      </w:trPr>
      <w:tc>
        <w:tcPr>
          <w:tcW w:w="1415" w:type="dxa"/>
          <w:shd w:val="clear" w:color="auto" w:fill="auto"/>
        </w:tcPr>
        <w:p w14:paraId="2BD4D581" w14:textId="4EF55E16" w:rsidR="00D05732" w:rsidRPr="00082399" w:rsidRDefault="00AF12FA"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10FAA53F" wp14:editId="68A64D6E">
                <wp:extent cx="596265" cy="254635"/>
                <wp:effectExtent l="0" t="0" r="0" b="0"/>
                <wp:docPr id="3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1F0F8D4F"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2ACC234" w14:textId="6FA6CBE0"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2</w:t>
          </w:r>
          <w:r w:rsidRPr="00082399">
            <w:rPr>
              <w:color w:val="4196C6"/>
              <w:sz w:val="18"/>
              <w:szCs w:val="18"/>
              <w:lang w:val="fr-FR"/>
            </w:rPr>
            <w:fldChar w:fldCharType="end"/>
          </w:r>
        </w:p>
      </w:tc>
    </w:tr>
  </w:tbl>
  <w:p w14:paraId="1191A3A1"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950A63" w:rsidRPr="00082399" w14:paraId="03B632F3" w14:textId="77777777" w:rsidTr="002374AE">
      <w:trPr>
        <w:jc w:val="center"/>
      </w:trPr>
      <w:tc>
        <w:tcPr>
          <w:tcW w:w="1415" w:type="dxa"/>
          <w:shd w:val="clear" w:color="auto" w:fill="auto"/>
        </w:tcPr>
        <w:p w14:paraId="1D8D8E2B" w14:textId="77777777" w:rsidR="00950A63" w:rsidRPr="00082399" w:rsidRDefault="00950A63" w:rsidP="00950A63">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FCD444E" wp14:editId="00C24EBD">
                <wp:extent cx="596265" cy="254635"/>
                <wp:effectExtent l="0" t="0" r="0" b="0"/>
                <wp:docPr id="4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A93C463" w14:textId="77777777" w:rsidR="00950A63" w:rsidRPr="00082399" w:rsidRDefault="00950A63" w:rsidP="00950A63">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1E1EFB7" w14:textId="34E8D1E1" w:rsidR="00950A63" w:rsidRPr="00082399" w:rsidRDefault="00950A63" w:rsidP="00950A63">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030DA2">
            <w:rPr>
              <w:noProof/>
              <w:color w:val="4196C6"/>
              <w:sz w:val="18"/>
              <w:szCs w:val="18"/>
              <w:lang w:val="en-US"/>
            </w:rPr>
            <w:t>1</w:t>
          </w:r>
          <w:r w:rsidRPr="00082399">
            <w:rPr>
              <w:color w:val="4196C6"/>
              <w:sz w:val="18"/>
              <w:szCs w:val="18"/>
              <w:lang w:val="fr-FR"/>
            </w:rPr>
            <w:fldChar w:fldCharType="end"/>
          </w:r>
        </w:p>
      </w:tc>
    </w:tr>
  </w:tbl>
  <w:p w14:paraId="77E4D75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3FB62EF8" w14:textId="77777777" w:rsidTr="00811C2B">
      <w:trPr>
        <w:jc w:val="center"/>
      </w:trPr>
      <w:tc>
        <w:tcPr>
          <w:tcW w:w="1415" w:type="dxa"/>
          <w:shd w:val="clear" w:color="auto" w:fill="auto"/>
        </w:tcPr>
        <w:p w14:paraId="61CD71BC" w14:textId="01188F25" w:rsidR="00807583" w:rsidRPr="00082399" w:rsidRDefault="00AF12FA"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72B5013" wp14:editId="4C87641D">
                <wp:extent cx="596265" cy="254635"/>
                <wp:effectExtent l="0" t="0" r="0" b="0"/>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21911F0D"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76102D3" w14:textId="0053A750"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1</w:t>
          </w:r>
          <w:r w:rsidRPr="00082399">
            <w:rPr>
              <w:color w:val="4196C6"/>
              <w:sz w:val="18"/>
              <w:szCs w:val="18"/>
              <w:lang w:val="fr-FR"/>
            </w:rPr>
            <w:fldChar w:fldCharType="end"/>
          </w:r>
        </w:p>
      </w:tc>
    </w:tr>
  </w:tbl>
  <w:p w14:paraId="4B34C386"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ACF0" w14:textId="77777777" w:rsidR="00A11251" w:rsidRDefault="00A11251" w:rsidP="00AA6F34">
      <w:pPr>
        <w:spacing w:before="0" w:line="240" w:lineRule="auto"/>
        <w:rPr>
          <w:rFonts w:cs="Times New Roman"/>
        </w:rPr>
      </w:pPr>
      <w:r>
        <w:rPr>
          <w:rFonts w:cs="Times New Roman"/>
        </w:rPr>
        <w:separator/>
      </w:r>
    </w:p>
  </w:footnote>
  <w:footnote w:type="continuationSeparator" w:id="0">
    <w:p w14:paraId="4B63327C" w14:textId="77777777" w:rsidR="00A11251" w:rsidRDefault="00A11251" w:rsidP="00AA6F34">
      <w:pPr>
        <w:spacing w:before="0" w:line="240" w:lineRule="auto"/>
        <w:rPr>
          <w:rFonts w:cs="Times New Roman"/>
        </w:rPr>
      </w:pPr>
      <w:r>
        <w:rPr>
          <w:rFonts w:cs="Times New Roman"/>
        </w:rPr>
        <w:continuationSeparator/>
      </w:r>
    </w:p>
  </w:footnote>
  <w:footnote w:type="continuationNotice" w:id="1">
    <w:p w14:paraId="5D82EE10" w14:textId="77777777" w:rsidR="00A11251" w:rsidRDefault="00A11251">
      <w:pPr>
        <w:spacing w:before="0" w:line="240" w:lineRule="auto"/>
        <w:rPr>
          <w:rFonts w:cs="Times New Roman"/>
        </w:rPr>
      </w:pPr>
    </w:p>
  </w:footnote>
  <w:footnote w:id="2">
    <w:p w14:paraId="53ABD1E0" w14:textId="77777777" w:rsidR="00672D1F" w:rsidRPr="00BA495E" w:rsidRDefault="00672D1F">
      <w:pPr>
        <w:pStyle w:val="FootnoteText"/>
        <w:rPr>
          <w:lang w:val="en-US"/>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04A71F50" w14:textId="5BA102D3" w:rsidR="00D85810" w:rsidRPr="00D85810" w:rsidRDefault="00672D1F">
      <w:pPr>
        <w:pStyle w:val="FootnoteText"/>
      </w:pPr>
      <w:r>
        <w:rPr>
          <w:rStyle w:val="FootnoteReference"/>
        </w:rPr>
        <w:footnoteRef/>
      </w:r>
      <w:r w:rsidRPr="00D85810">
        <w:t xml:space="preserve"> Exemption request available at </w:t>
      </w:r>
      <w:hyperlink r:id="rId1" w:history="1">
        <w:r w:rsidR="00D85810" w:rsidRPr="00D85810">
          <w:rPr>
            <w:rStyle w:val="Hyperlink"/>
          </w:rPr>
          <w:t>http://www.rohs.biois.eu/RoHS_exemption_application_SPECTARIS_13b.pdf</w:t>
        </w:r>
      </w:hyperlink>
      <w:r w:rsidR="00D85810" w:rsidRPr="00D85810">
        <w:t xml:space="preserve"> Ad</w:t>
      </w:r>
      <w:r w:rsidR="00D85810">
        <w:t xml:space="preserve">ditional information submitted by </w:t>
      </w:r>
      <w:proofErr w:type="spellStart"/>
      <w:r w:rsidR="00D85810">
        <w:t>Spectaris</w:t>
      </w:r>
      <w:proofErr w:type="spellEnd"/>
      <w:r w:rsidR="00D85810">
        <w:t xml:space="preserve"> </w:t>
      </w:r>
      <w:proofErr w:type="spellStart"/>
      <w:r w:rsidR="00D85810">
        <w:t>e.V</w:t>
      </w:r>
      <w:proofErr w:type="spellEnd"/>
      <w:r w:rsidR="00D85810">
        <w:t xml:space="preserve">. is available at </w:t>
      </w:r>
      <w:hyperlink r:id="rId2" w:history="1">
        <w:r w:rsidR="00D85810">
          <w:rPr>
            <w:rStyle w:val="Hyperlink"/>
          </w:rPr>
          <w:t>RoHS Annex III exemption evaluation - Stakeholder consultation (biois.eu)</w:t>
        </w:r>
      </w:hyperlink>
    </w:p>
  </w:footnote>
  <w:footnote w:id="4">
    <w:p w14:paraId="6F00CC5B" w14:textId="18C3B9C2" w:rsidR="00D85810" w:rsidRPr="00D85810" w:rsidRDefault="00672D1F">
      <w:pPr>
        <w:pStyle w:val="FootnoteText"/>
        <w:rPr>
          <w:lang w:val="fr-FR"/>
        </w:rPr>
      </w:pPr>
      <w:r>
        <w:rPr>
          <w:rStyle w:val="FootnoteReference"/>
        </w:rPr>
        <w:footnoteRef/>
      </w:r>
      <w:r w:rsidRPr="00D85810">
        <w:rPr>
          <w:lang w:val="fr-FR"/>
        </w:rPr>
        <w:t xml:space="preserve"> Clarification questionnaire </w:t>
      </w:r>
      <w:proofErr w:type="spellStart"/>
      <w:r w:rsidRPr="00D85810">
        <w:rPr>
          <w:lang w:val="fr-FR"/>
        </w:rPr>
        <w:t>available</w:t>
      </w:r>
      <w:proofErr w:type="spellEnd"/>
      <w:r w:rsidRPr="00D85810">
        <w:rPr>
          <w:lang w:val="fr-FR"/>
        </w:rPr>
        <w:t xml:space="preserve"> at </w:t>
      </w:r>
      <w:r w:rsidR="00FE069E">
        <w:fldChar w:fldCharType="begin"/>
      </w:r>
      <w:r w:rsidR="00FE069E" w:rsidRPr="00FE069E">
        <w:rPr>
          <w:lang w:val="fr-FR"/>
        </w:rPr>
        <w:instrText xml:space="preserve"> HY</w:instrText>
      </w:r>
      <w:r w:rsidR="00FE069E" w:rsidRPr="00FE069E">
        <w:rPr>
          <w:lang w:val="fr-FR"/>
        </w:rPr>
        <w:instrText xml:space="preserve">PERLINK "http://www.rohs.biois.eu/Ex-13b-Annex-III_UP_Clarification_%20Answers.pdf" </w:instrText>
      </w:r>
      <w:r w:rsidR="00FE069E">
        <w:fldChar w:fldCharType="separate"/>
      </w:r>
      <w:r w:rsidR="00D85810" w:rsidRPr="006846D7">
        <w:rPr>
          <w:rStyle w:val="Hyperlink"/>
          <w:lang w:val="fr-FR"/>
        </w:rPr>
        <w:t>http://www.rohs.biois.eu/Ex-13b-Annex-III_UP_Clarification_%20Answers.pdf</w:t>
      </w:r>
      <w:r w:rsidR="00FE069E">
        <w:rPr>
          <w:rStyle w:val="Hyperlink"/>
          <w:lang w:val="fr-FR"/>
        </w:rPr>
        <w:fldChar w:fldCharType="end"/>
      </w:r>
    </w:p>
  </w:footnote>
  <w:footnote w:id="5">
    <w:p w14:paraId="1BC42C2A" w14:textId="77777777" w:rsidR="00D05732" w:rsidRPr="00D05732" w:rsidRDefault="00D05732" w:rsidP="00D05732">
      <w:pPr>
        <w:pStyle w:val="footnote"/>
        <w:rPr>
          <w:lang w:val="fr-FR"/>
        </w:rPr>
      </w:pPr>
      <w:r>
        <w:rPr>
          <w:rStyle w:val="FootnoteReference"/>
        </w:rPr>
        <w:footnoteRef/>
      </w:r>
      <w:r w:rsidRPr="00BA495E">
        <w:rPr>
          <w:lang w:val="fr-FR"/>
        </w:rPr>
        <w:t xml:space="preserve"> Directive 2011/65/EU (RoHS) </w:t>
      </w:r>
      <w:proofErr w:type="spellStart"/>
      <w:r w:rsidRPr="00BA495E">
        <w:rPr>
          <w:lang w:val="fr-FR"/>
        </w:rPr>
        <w:t>available</w:t>
      </w:r>
      <w:proofErr w:type="spellEnd"/>
      <w:r w:rsidRPr="00BA495E">
        <w:rPr>
          <w:lang w:val="fr-FR"/>
        </w:rPr>
        <w:t xml:space="preserve"> at </w:t>
      </w:r>
      <w:r w:rsidR="00FE069E">
        <w:fldChar w:fldCharType="begin"/>
      </w:r>
      <w:r w:rsidR="00FE069E" w:rsidRPr="00FE069E">
        <w:rPr>
          <w:lang w:val="fr-FR"/>
        </w:rPr>
        <w:instrText xml:space="preserve"> HYPERLINK "http://eur-lex.europa.eu/LexUriServ/LexU</w:instrText>
      </w:r>
      <w:r w:rsidR="00FE069E" w:rsidRPr="00FE069E">
        <w:rPr>
          <w:lang w:val="fr-FR"/>
        </w:rPr>
        <w:instrText xml:space="preserve">riServ.do?uri=CELEX:32011L0065:EN:NOT" </w:instrText>
      </w:r>
      <w:r w:rsidR="00FE069E">
        <w:fldChar w:fldCharType="separate"/>
      </w:r>
      <w:r w:rsidRPr="00BA495E">
        <w:rPr>
          <w:rStyle w:val="Hyperlink"/>
          <w:lang w:val="fr-FR"/>
        </w:rPr>
        <w:t>http://eur-lex.europa.eu/LexUriServ/LexUriServ.do?uri=CELEX:32011L0065:EN:NOT</w:t>
      </w:r>
      <w:r w:rsidR="00FE069E">
        <w:rPr>
          <w:rStyle w:val="Hyperlink"/>
          <w:lang w:val="fr-FR"/>
        </w:rPr>
        <w:fldChar w:fldCharType="end"/>
      </w:r>
      <w:r w:rsidRPr="00BA495E">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7932" w14:textId="6DEA88C2" w:rsidR="00A33112" w:rsidRPr="00950A63" w:rsidRDefault="00950A63" w:rsidP="00950A63">
    <w:pPr>
      <w:pStyle w:val="Header"/>
      <w:tabs>
        <w:tab w:val="clear" w:pos="4536"/>
      </w:tabs>
      <w:ind w:left="426"/>
      <w:jc w:val="right"/>
    </w:pPr>
    <w:r>
      <w:rPr>
        <w:noProof/>
        <w:sz w:val="18"/>
        <w:szCs w:val="18"/>
        <w:lang w:val="de-DE" w:eastAsia="de-DE"/>
      </w:rPr>
      <w:drawing>
        <wp:anchor distT="0" distB="0" distL="114300" distR="114300" simplePos="0" relativeHeight="251661312" behindDoc="0" locked="0" layoutInCell="1" allowOverlap="1" wp14:anchorId="3BAC2605" wp14:editId="563B58AB">
          <wp:simplePos x="0" y="0"/>
          <wp:positionH relativeFrom="column">
            <wp:posOffset>1753235</wp:posOffset>
          </wp:positionH>
          <wp:positionV relativeFrom="paragraph">
            <wp:posOffset>-11430</wp:posOffset>
          </wp:positionV>
          <wp:extent cx="774065" cy="210185"/>
          <wp:effectExtent l="0" t="0" r="0" b="0"/>
          <wp:wrapSquare wrapText="bothSides"/>
          <wp:docPr id="31"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3DC58392" wp14:editId="5D553DA5">
          <wp:simplePos x="0" y="0"/>
          <wp:positionH relativeFrom="column">
            <wp:posOffset>899160</wp:posOffset>
          </wp:positionH>
          <wp:positionV relativeFrom="paragraph">
            <wp:posOffset>-38100</wp:posOffset>
          </wp:positionV>
          <wp:extent cx="824865" cy="320675"/>
          <wp:effectExtent l="0" t="0" r="0" b="0"/>
          <wp:wrapSquare wrapText="bothSides"/>
          <wp:docPr id="32"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2A2AD954" wp14:editId="48E0450E">
          <wp:simplePos x="0" y="0"/>
          <wp:positionH relativeFrom="column">
            <wp:posOffset>0</wp:posOffset>
          </wp:positionH>
          <wp:positionV relativeFrom="paragraph">
            <wp:posOffset>0</wp:posOffset>
          </wp:positionV>
          <wp:extent cx="899160" cy="210185"/>
          <wp:effectExtent l="0" t="0" r="0" b="0"/>
          <wp:wrapSquare wrapText="bothSides"/>
          <wp:docPr id="33"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3234" w14:textId="77777777" w:rsidR="00950A63" w:rsidRDefault="00950A63" w:rsidP="00950A63">
    <w:pPr>
      <w:pStyle w:val="Header"/>
      <w:tabs>
        <w:tab w:val="clear" w:pos="4536"/>
      </w:tabs>
      <w:jc w:val="right"/>
    </w:pPr>
    <w:r>
      <w:rPr>
        <w:noProof/>
        <w:sz w:val="18"/>
        <w:szCs w:val="18"/>
        <w:lang w:val="de-DE" w:eastAsia="de-DE"/>
      </w:rPr>
      <w:drawing>
        <wp:anchor distT="0" distB="0" distL="114300" distR="114300" simplePos="0" relativeHeight="251665408" behindDoc="0" locked="0" layoutInCell="1" allowOverlap="1" wp14:anchorId="76A7A9F0" wp14:editId="192F4D1B">
          <wp:simplePos x="0" y="0"/>
          <wp:positionH relativeFrom="column">
            <wp:posOffset>1753235</wp:posOffset>
          </wp:positionH>
          <wp:positionV relativeFrom="paragraph">
            <wp:posOffset>-11430</wp:posOffset>
          </wp:positionV>
          <wp:extent cx="774065" cy="210185"/>
          <wp:effectExtent l="0" t="0" r="0" b="0"/>
          <wp:wrapSquare wrapText="bothSides"/>
          <wp:docPr id="15"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63360" behindDoc="0" locked="0" layoutInCell="1" allowOverlap="1" wp14:anchorId="46ADD475" wp14:editId="15BC6991">
          <wp:simplePos x="0" y="0"/>
          <wp:positionH relativeFrom="column">
            <wp:posOffset>899160</wp:posOffset>
          </wp:positionH>
          <wp:positionV relativeFrom="paragraph">
            <wp:posOffset>-38100</wp:posOffset>
          </wp:positionV>
          <wp:extent cx="824865" cy="320675"/>
          <wp:effectExtent l="0" t="0" r="0" b="0"/>
          <wp:wrapSquare wrapText="bothSides"/>
          <wp:docPr id="16"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4384" behindDoc="0" locked="0" layoutInCell="1" allowOverlap="1" wp14:anchorId="782AAA14" wp14:editId="17CBA945">
          <wp:simplePos x="0" y="0"/>
          <wp:positionH relativeFrom="column">
            <wp:posOffset>0</wp:posOffset>
          </wp:positionH>
          <wp:positionV relativeFrom="paragraph">
            <wp:posOffset>0</wp:posOffset>
          </wp:positionV>
          <wp:extent cx="899160" cy="210185"/>
          <wp:effectExtent l="0" t="0" r="0" b="0"/>
          <wp:wrapSquare wrapText="bothSides"/>
          <wp:docPr id="17"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2845B7E8" w14:textId="22405568" w:rsidR="00A33112" w:rsidRDefault="00A33112" w:rsidP="00A926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7F02" w14:textId="036A8EC6" w:rsidR="00A33112" w:rsidRDefault="00AF12FA"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7AA221CC" wp14:editId="6EBA7D6C">
          <wp:simplePos x="0" y="0"/>
          <wp:positionH relativeFrom="column">
            <wp:posOffset>1753235</wp:posOffset>
          </wp:positionH>
          <wp:positionV relativeFrom="paragraph">
            <wp:posOffset>-11430</wp:posOffset>
          </wp:positionV>
          <wp:extent cx="774065" cy="210185"/>
          <wp:effectExtent l="0" t="0" r="0" b="0"/>
          <wp:wrapSquare wrapText="bothSides"/>
          <wp:docPr id="3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38F78CFD" wp14:editId="651102B8">
          <wp:simplePos x="0" y="0"/>
          <wp:positionH relativeFrom="column">
            <wp:posOffset>899160</wp:posOffset>
          </wp:positionH>
          <wp:positionV relativeFrom="paragraph">
            <wp:posOffset>-38100</wp:posOffset>
          </wp:positionV>
          <wp:extent cx="824865" cy="320675"/>
          <wp:effectExtent l="0" t="0" r="0" b="0"/>
          <wp:wrapSquare wrapText="bothSides"/>
          <wp:docPr id="3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0BE8A5BF" wp14:editId="176577C3">
          <wp:simplePos x="0" y="0"/>
          <wp:positionH relativeFrom="column">
            <wp:posOffset>0</wp:posOffset>
          </wp:positionH>
          <wp:positionV relativeFrom="paragraph">
            <wp:posOffset>0</wp:posOffset>
          </wp:positionV>
          <wp:extent cx="899160" cy="210185"/>
          <wp:effectExtent l="0" t="0" r="0" b="0"/>
          <wp:wrapSquare wrapText="bothSides"/>
          <wp:docPr id="3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15:restartNumberingAfterBreak="0">
    <w:nsid w:val="6CC03D6F"/>
    <w:multiLevelType w:val="hybridMultilevel"/>
    <w:tmpl w:val="590463A0"/>
    <w:lvl w:ilvl="0" w:tplc="3D1223F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7"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0"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9"/>
  </w:num>
  <w:num w:numId="18">
    <w:abstractNumId w:val="11"/>
  </w:num>
  <w:num w:numId="19">
    <w:abstractNumId w:val="26"/>
  </w:num>
  <w:num w:numId="20">
    <w:abstractNumId w:val="0"/>
  </w:num>
  <w:num w:numId="21">
    <w:abstractNumId w:val="5"/>
  </w:num>
  <w:num w:numId="22">
    <w:abstractNumId w:val="15"/>
  </w:num>
  <w:num w:numId="23">
    <w:abstractNumId w:val="4"/>
  </w:num>
  <w:num w:numId="24">
    <w:abstractNumId w:val="10"/>
  </w:num>
  <w:num w:numId="25">
    <w:abstractNumId w:val="25"/>
  </w:num>
  <w:num w:numId="26">
    <w:abstractNumId w:val="27"/>
  </w:num>
  <w:num w:numId="27">
    <w:abstractNumId w:val="3"/>
  </w:num>
  <w:num w:numId="28">
    <w:abstractNumId w:val="12"/>
  </w:num>
  <w:num w:numId="29">
    <w:abstractNumId w:val="23"/>
  </w:num>
  <w:num w:numId="30">
    <w:abstractNumId w:val="16"/>
  </w:num>
  <w:num w:numId="31">
    <w:abstractNumId w:val="13"/>
  </w:num>
  <w:num w:numId="32">
    <w:abstractNumId w:val="28"/>
  </w:num>
  <w:num w:numId="33">
    <w:abstractNumId w:val="30"/>
  </w:num>
  <w:num w:numId="34">
    <w:abstractNumId w:val="24"/>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ocumentProtection w:edit="forms" w:enforcement="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FA"/>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0DA2"/>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9B6"/>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A4E"/>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2F1C"/>
    <w:rsid w:val="003732A0"/>
    <w:rsid w:val="00374D81"/>
    <w:rsid w:val="003757DA"/>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565"/>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2E3"/>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2409"/>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3E0E"/>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2EBD"/>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3D35"/>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3207"/>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59C6"/>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6A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897"/>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6DEC"/>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3F81"/>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1BA"/>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0A6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4F9"/>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251"/>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2FA"/>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29B1"/>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007"/>
    <w:rsid w:val="00B9623F"/>
    <w:rsid w:val="00B978C4"/>
    <w:rsid w:val="00B97C48"/>
    <w:rsid w:val="00BA03F0"/>
    <w:rsid w:val="00BA1B0F"/>
    <w:rsid w:val="00BA1C66"/>
    <w:rsid w:val="00BA1EF7"/>
    <w:rsid w:val="00BA207F"/>
    <w:rsid w:val="00BA20EC"/>
    <w:rsid w:val="00BA2896"/>
    <w:rsid w:val="00BA2974"/>
    <w:rsid w:val="00BA2F9E"/>
    <w:rsid w:val="00BA2FCD"/>
    <w:rsid w:val="00BA3434"/>
    <w:rsid w:val="00BA495E"/>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163"/>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762"/>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3AF"/>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38A"/>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6F39"/>
    <w:rsid w:val="00D27069"/>
    <w:rsid w:val="00D2724D"/>
    <w:rsid w:val="00D27882"/>
    <w:rsid w:val="00D278F6"/>
    <w:rsid w:val="00D310E9"/>
    <w:rsid w:val="00D31B62"/>
    <w:rsid w:val="00D31C2C"/>
    <w:rsid w:val="00D327F8"/>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11D4"/>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810"/>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1910"/>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3C39"/>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3356"/>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069E"/>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64982E"/>
  <w15:chartTrackingRefBased/>
  <w15:docId w15:val="{0619B1C1-6CC1-4E11-A574-74B21C4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807583"/>
    <w:pPr>
      <w:keepNext/>
      <w:numPr>
        <w:ilvl w:val="1"/>
        <w:numId w:val="9"/>
      </w:numPr>
      <w:spacing w:before="240" w:after="240"/>
      <w:outlineLvl w:val="1"/>
    </w:pPr>
    <w:rPr>
      <w:b/>
      <w:bCs/>
      <w:caps/>
      <w:color w:val="469FDD"/>
      <w:sz w:val="24"/>
      <w:szCs w:val="28"/>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672D1F"/>
    <w:rPr>
      <w:rFonts w:ascii="Open Sans" w:eastAsia="Times" w:hAnsi="Open Sans" w:cs="Open Sans"/>
      <w:b/>
      <w:bCs/>
      <w:color w:val="469FDD"/>
      <w:kern w:val="32"/>
      <w:sz w:val="22"/>
      <w:szCs w:val="56"/>
      <w:lang w:bidi="ar-SA"/>
    </w:rPr>
  </w:style>
  <w:style w:type="character" w:customStyle="1" w:styleId="Heading2Char">
    <w:name w:val="Heading 2 Char"/>
    <w:aliases w:val="NEA2 Char,2 Char"/>
    <w:link w:val="Heading2"/>
    <w:uiPriority w:val="99"/>
    <w:locked/>
    <w:rsid w:val="00807583"/>
    <w:rPr>
      <w:rFonts w:ascii="Open Sans" w:eastAsia="Times New Roman" w:hAnsi="Open Sans" w:cs="Calibri"/>
      <w:b/>
      <w:bCs/>
      <w:caps/>
      <w:color w:val="469FDD"/>
      <w:sz w:val="24"/>
      <w:szCs w:val="28"/>
      <w:lang w:val="en-GB" w:bidi="ar-SA"/>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uiPriority w:val="99"/>
    <w:semiHidden/>
    <w:rsid w:val="008579BD"/>
    <w:pPr>
      <w:spacing w:before="0" w:line="240" w:lineRule="auto"/>
    </w:pPr>
    <w:rPr>
      <w:sz w:val="18"/>
      <w:szCs w:val="18"/>
    </w:rPr>
  </w:style>
  <w:style w:type="character" w:customStyle="1" w:styleId="FootnoteTextChar">
    <w:name w:val="Footnote Text Char"/>
    <w:link w:val="FootnoteText"/>
    <w:uiPriority w:val="99"/>
    <w:locked/>
    <w:rsid w:val="008579BD"/>
    <w:rPr>
      <w:rFonts w:eastAsia="Times New Roman"/>
      <w:sz w:val="18"/>
      <w:szCs w:val="18"/>
      <w:lang w:val="x-none" w:eastAsia="fr-FR"/>
    </w:rPr>
  </w:style>
  <w:style w:type="character" w:styleId="FootnoteReference">
    <w:name w:val="footnote reference"/>
    <w:uiPriority w:val="99"/>
    <w:semiHidden/>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22"/>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basedOn w:val="Normal"/>
    <w:link w:val="ListParagraphChar"/>
    <w:uiPriority w:val="99"/>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link w:val="ListParagraph"/>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styleId="UnresolvedMention">
    <w:name w:val="Unresolved Mention"/>
    <w:basedOn w:val="DefaultParagraphFont"/>
    <w:uiPriority w:val="99"/>
    <w:semiHidden/>
    <w:unhideWhenUsed/>
    <w:rsid w:val="00D8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28158">
      <w:bodyDiv w:val="1"/>
      <w:marLeft w:val="0"/>
      <w:marRight w:val="0"/>
      <w:marTop w:val="0"/>
      <w:marBottom w:val="0"/>
      <w:divBdr>
        <w:top w:val="none" w:sz="0" w:space="0" w:color="auto"/>
        <w:left w:val="none" w:sz="0" w:space="0" w:color="auto"/>
        <w:bottom w:val="none" w:sz="0" w:space="0" w:color="auto"/>
        <w:right w:val="none" w:sz="0" w:space="0" w:color="auto"/>
      </w:divBdr>
      <w:divsChild>
        <w:div w:id="672144654">
          <w:marLeft w:val="240"/>
          <w:marRight w:val="0"/>
          <w:marTop w:val="0"/>
          <w:marBottom w:val="0"/>
          <w:divBdr>
            <w:top w:val="none" w:sz="0" w:space="0" w:color="auto"/>
            <w:left w:val="none" w:sz="0" w:space="0" w:color="auto"/>
            <w:bottom w:val="none" w:sz="0" w:space="0" w:color="auto"/>
            <w:right w:val="none" w:sz="0" w:space="0" w:color="auto"/>
          </w:divBdr>
        </w:div>
        <w:div w:id="714736950">
          <w:marLeft w:val="240"/>
          <w:marRight w:val="0"/>
          <w:marTop w:val="0"/>
          <w:marBottom w:val="0"/>
          <w:divBdr>
            <w:top w:val="none" w:sz="0" w:space="0" w:color="auto"/>
            <w:left w:val="none" w:sz="0" w:space="0" w:color="auto"/>
            <w:bottom w:val="none" w:sz="0" w:space="0" w:color="auto"/>
            <w:right w:val="none" w:sz="0" w:space="0" w:color="auto"/>
          </w:divBdr>
        </w:div>
        <w:div w:id="14038278">
          <w:marLeft w:val="240"/>
          <w:marRight w:val="0"/>
          <w:marTop w:val="0"/>
          <w:marBottom w:val="0"/>
          <w:divBdr>
            <w:top w:val="none" w:sz="0" w:space="0" w:color="auto"/>
            <w:left w:val="none" w:sz="0" w:space="0" w:color="auto"/>
            <w:bottom w:val="none" w:sz="0" w:space="0" w:color="auto"/>
            <w:right w:val="none" w:sz="0" w:space="0" w:color="auto"/>
          </w:divBdr>
        </w:div>
      </w:divsChild>
    </w:div>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 w:id="1034190157">
      <w:bodyDiv w:val="1"/>
      <w:marLeft w:val="0"/>
      <w:marRight w:val="0"/>
      <w:marTop w:val="0"/>
      <w:marBottom w:val="0"/>
      <w:divBdr>
        <w:top w:val="none" w:sz="0" w:space="0" w:color="auto"/>
        <w:left w:val="none" w:sz="0" w:space="0" w:color="auto"/>
        <w:bottom w:val="none" w:sz="0" w:space="0" w:color="auto"/>
        <w:right w:val="none" w:sz="0" w:space="0" w:color="auto"/>
      </w:divBdr>
    </w:div>
    <w:div w:id="2026200547">
      <w:bodyDiv w:val="1"/>
      <w:marLeft w:val="0"/>
      <w:marRight w:val="0"/>
      <w:marTop w:val="0"/>
      <w:marBottom w:val="0"/>
      <w:divBdr>
        <w:top w:val="none" w:sz="0" w:space="0" w:color="auto"/>
        <w:left w:val="none" w:sz="0" w:space="0" w:color="auto"/>
        <w:bottom w:val="none" w:sz="0" w:space="0" w:color="auto"/>
        <w:right w:val="none" w:sz="0" w:space="0" w:color="auto"/>
      </w:divBdr>
      <w:divsChild>
        <w:div w:id="887716599">
          <w:marLeft w:val="240"/>
          <w:marRight w:val="0"/>
          <w:marTop w:val="0"/>
          <w:marBottom w:val="0"/>
          <w:divBdr>
            <w:top w:val="none" w:sz="0" w:space="0" w:color="auto"/>
            <w:left w:val="none" w:sz="0" w:space="0" w:color="auto"/>
            <w:bottom w:val="none" w:sz="0" w:space="0" w:color="auto"/>
            <w:right w:val="none" w:sz="0" w:space="0" w:color="auto"/>
          </w:divBdr>
        </w:div>
        <w:div w:id="260115792">
          <w:marLeft w:val="240"/>
          <w:marRight w:val="0"/>
          <w:marTop w:val="0"/>
          <w:marBottom w:val="0"/>
          <w:divBdr>
            <w:top w:val="none" w:sz="0" w:space="0" w:color="auto"/>
            <w:left w:val="none" w:sz="0" w:space="0" w:color="auto"/>
            <w:bottom w:val="none" w:sz="0" w:space="0" w:color="auto"/>
            <w:right w:val="none" w:sz="0" w:space="0" w:color="auto"/>
          </w:divBdr>
        </w:div>
        <w:div w:id="128214827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rohs.biois.eu/requests3.html" TargetMode="External"/><Relationship Id="rId1" Type="http://schemas.openxmlformats.org/officeDocument/2006/relationships/hyperlink" Target="http://www.rohs.biois.eu/RoHS_exemption_application_SPECTARIS_13b.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182B5-84D2-4E48-97F3-FE767C8A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1071</Words>
  <Characters>5718</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6776</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 Mathilde</dc:creator>
  <cp:keywords/>
  <cp:lastModifiedBy>Basile Clot</cp:lastModifiedBy>
  <cp:revision>8</cp:revision>
  <cp:lastPrinted>2020-07-22T11:37:00Z</cp:lastPrinted>
  <dcterms:created xsi:type="dcterms:W3CDTF">2021-03-05T12:12:00Z</dcterms:created>
  <dcterms:modified xsi:type="dcterms:W3CDTF">2021-04-16T18:10:00Z</dcterms:modified>
</cp:coreProperties>
</file>