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2FC7A0B4" w:rsidR="00082399" w:rsidRPr="000630EA" w:rsidRDefault="00261090" w:rsidP="00672D1F">
      <w:pPr>
        <w:pStyle w:val="Title"/>
        <w:rPr>
          <w:rFonts w:ascii="Oswald" w:hAnsi="Oswald"/>
          <w:b w:val="0"/>
          <w:bCs w:val="0"/>
          <w:color w:val="4196C6"/>
        </w:rPr>
      </w:pPr>
      <w:bookmarkStart w:id="0" w:name="_Toc125278732"/>
      <w:r w:rsidRPr="000630EA">
        <w:rPr>
          <w:rFonts w:ascii="Oswald" w:hAnsi="Oswald"/>
          <w:b w:val="0"/>
          <w:bCs w:val="0"/>
          <w:color w:val="4196C6"/>
        </w:rPr>
        <w:t>Consultation Questionnaire</w:t>
      </w:r>
      <w:r w:rsidR="00082399" w:rsidRPr="000630EA">
        <w:rPr>
          <w:rFonts w:ascii="Oswald" w:hAnsi="Oswald"/>
          <w:b w:val="0"/>
          <w:bCs w:val="0"/>
          <w:color w:val="4196C6"/>
        </w:rPr>
        <w:t xml:space="preserve"> Exemption</w:t>
      </w:r>
      <w:r w:rsidR="001A0290" w:rsidRPr="000630EA">
        <w:rPr>
          <w:rFonts w:ascii="Oswald" w:hAnsi="Oswald"/>
          <w:b w:val="0"/>
          <w:bCs w:val="0"/>
          <w:color w:val="4196C6"/>
        </w:rPr>
        <w:t>s</w:t>
      </w:r>
      <w:r w:rsidR="00082399" w:rsidRPr="000630EA">
        <w:rPr>
          <w:rFonts w:ascii="Oswald" w:hAnsi="Oswald"/>
          <w:b w:val="0"/>
          <w:bCs w:val="0"/>
          <w:color w:val="4196C6"/>
        </w:rPr>
        <w:t xml:space="preserve"> </w:t>
      </w:r>
      <w:r w:rsidR="001A0290" w:rsidRPr="000630EA">
        <w:rPr>
          <w:rFonts w:ascii="Oswald" w:hAnsi="Oswald"/>
          <w:b w:val="0"/>
          <w:bCs w:val="0"/>
          <w:color w:val="4196C6"/>
        </w:rPr>
        <w:t>15 and 15(a)</w:t>
      </w:r>
      <w:r w:rsidR="00082399" w:rsidRPr="000630EA">
        <w:rPr>
          <w:rFonts w:ascii="Oswald" w:hAnsi="Oswald"/>
          <w:b w:val="0"/>
          <w:bCs w:val="0"/>
          <w:color w:val="4196C6"/>
        </w:rPr>
        <w:t xml:space="preserve"> of RoHS Annex</w:t>
      </w:r>
      <w:r w:rsidR="001A0290" w:rsidRPr="000630EA">
        <w:rPr>
          <w:rFonts w:ascii="Oswald" w:hAnsi="Oswald"/>
          <w:b w:val="0"/>
          <w:bCs w:val="0"/>
          <w:color w:val="4196C6"/>
        </w:rPr>
        <w:t> III</w:t>
      </w:r>
    </w:p>
    <w:p w14:paraId="5E6BB7D2" w14:textId="0ACCB03B" w:rsidR="008E61BA" w:rsidRPr="008E61BA" w:rsidRDefault="008E61BA" w:rsidP="009F5D18">
      <w:pPr>
        <w:pStyle w:val="IntenseQuote"/>
        <w:rPr>
          <w:i w:val="0"/>
        </w:rPr>
      </w:pPr>
      <w:r w:rsidRPr="008E61BA">
        <w:rPr>
          <w:i w:val="0"/>
        </w:rPr>
        <w:t>Current wording of the exemption:</w:t>
      </w:r>
    </w:p>
    <w:p w14:paraId="79C2CEA5" w14:textId="77777777" w:rsidR="00131CB1" w:rsidRDefault="00131CB1" w:rsidP="00131CB1">
      <w:pPr>
        <w:pStyle w:val="IntenseQuote"/>
      </w:pPr>
      <w:r>
        <w:t xml:space="preserve">15 Lead in solders to complete a viable electrical connection between semiconductor die and carrier within integrated circuit </w:t>
      </w:r>
      <w:r>
        <w:rPr>
          <w:rStyle w:val="highlight"/>
          <w:sz w:val="21"/>
          <w:szCs w:val="21"/>
        </w:rPr>
        <w:t>flip</w:t>
      </w:r>
      <w:r>
        <w:t xml:space="preserve"> chip packages</w:t>
      </w:r>
    </w:p>
    <w:p w14:paraId="417E9ADC" w14:textId="77777777" w:rsidR="00131CB1" w:rsidRPr="00A67BF1" w:rsidRDefault="00131CB1" w:rsidP="00131CB1">
      <w:pPr>
        <w:pStyle w:val="IntenseQuote"/>
      </w:pPr>
      <w:r w:rsidRPr="00A67BF1">
        <w:t xml:space="preserve">15(a) </w:t>
      </w:r>
      <w:r>
        <w:t xml:space="preserve">Lead in solders to complete a viable electrical connection between the semiconductor die and carrier within integrated circuit flip chip packages where at least one of the following criteria applies: </w:t>
      </w:r>
      <w:r>
        <w:br/>
        <w:t xml:space="preserve">— a semiconductor technology node of 90 nm or larger; </w:t>
      </w:r>
      <w:r>
        <w:br/>
        <w:t>— a single die of 300 mm</w:t>
      </w:r>
      <w:r w:rsidRPr="00A67BF1">
        <w:t>2</w:t>
      </w:r>
      <w:r>
        <w:t>or larger in any semi</w:t>
      </w:r>
      <w:r>
        <w:softHyphen/>
        <w:t xml:space="preserve">conductor technology node; </w:t>
      </w:r>
      <w:r>
        <w:br/>
        <w:t>— stacked die packages with die of 300 mm</w:t>
      </w:r>
      <w:r w:rsidRPr="00A67BF1">
        <w:rPr>
          <w:vertAlign w:val="superscript"/>
        </w:rPr>
        <w:t>2</w:t>
      </w:r>
      <w:r>
        <w:t>or larger, or silicon interposers of 300 mm</w:t>
      </w:r>
      <w:r w:rsidRPr="00A67BF1">
        <w:rPr>
          <w:vertAlign w:val="superscript"/>
        </w:rPr>
        <w:t>2</w:t>
      </w:r>
      <w:r>
        <w:t xml:space="preserve"> or larger.</w:t>
      </w:r>
    </w:p>
    <w:bookmarkEnd w:id="0"/>
    <w:p w14:paraId="3E3B0354" w14:textId="77777777" w:rsidR="00672D1F" w:rsidRPr="00672D1F" w:rsidRDefault="00672D1F" w:rsidP="00DC2830">
      <w:pPr>
        <w:pStyle w:val="Heading1"/>
        <w:numPr>
          <w:ilvl w:val="0"/>
          <w:numId w:val="0"/>
        </w:numPr>
        <w:ind w:left="432" w:hanging="432"/>
      </w:pPr>
      <w:r w:rsidRPr="00672D1F">
        <w:t>Acronyms and Definitions</w:t>
      </w:r>
    </w:p>
    <w:p w14:paraId="78FB8434" w14:textId="45204389" w:rsidR="00672D1F" w:rsidRDefault="00DC2830" w:rsidP="00D26F39">
      <w:pPr>
        <w:tabs>
          <w:tab w:val="left" w:pos="2835"/>
        </w:tabs>
        <w:rPr>
          <w:rStyle w:val="Standard1"/>
          <w:rFonts w:ascii="Open Sans" w:hAnsi="Open Sans" w:cs="Open Sans"/>
          <w:lang w:eastAsia="fr-FR"/>
        </w:rPr>
      </w:pPr>
      <w:r w:rsidRPr="00DC2830">
        <w:rPr>
          <w:rStyle w:val="Standard1"/>
          <w:rFonts w:ascii="Open Sans" w:hAnsi="Open Sans" w:cs="Open Sans"/>
          <w:lang w:eastAsia="fr-FR"/>
        </w:rPr>
        <w:t>FCP</w:t>
      </w:r>
      <w:r w:rsidR="00672D1F" w:rsidRPr="00DC2830">
        <w:rPr>
          <w:rStyle w:val="Standard1"/>
          <w:rFonts w:ascii="Open Sans" w:hAnsi="Open Sans" w:cs="Open Sans"/>
          <w:lang w:eastAsia="fr-FR"/>
        </w:rPr>
        <w:tab/>
      </w:r>
      <w:r w:rsidRPr="00DC2830">
        <w:rPr>
          <w:rStyle w:val="Standard1"/>
          <w:rFonts w:ascii="Open Sans" w:hAnsi="Open Sans" w:cs="Open Sans"/>
          <w:lang w:eastAsia="fr-FR"/>
        </w:rPr>
        <w:t>Flip chip package</w:t>
      </w:r>
    </w:p>
    <w:p w14:paraId="01CBB4DE" w14:textId="27582522" w:rsidR="001A0290" w:rsidRDefault="001A0290" w:rsidP="00D26F39">
      <w:pPr>
        <w:tabs>
          <w:tab w:val="left" w:pos="2835"/>
        </w:tabs>
        <w:rPr>
          <w:rStyle w:val="Standard1"/>
          <w:rFonts w:ascii="Open Sans" w:hAnsi="Open Sans" w:cs="Open Sans"/>
          <w:lang w:eastAsia="fr-FR"/>
        </w:rPr>
      </w:pPr>
      <w:r>
        <w:rPr>
          <w:rStyle w:val="Standard1"/>
          <w:rFonts w:ascii="Open Sans" w:hAnsi="Open Sans" w:cs="Open Sans"/>
          <w:lang w:eastAsia="fr-FR"/>
        </w:rPr>
        <w:t>STM</w:t>
      </w:r>
      <w:r>
        <w:rPr>
          <w:rStyle w:val="Standard1"/>
          <w:rFonts w:ascii="Open Sans" w:hAnsi="Open Sans" w:cs="Open Sans"/>
          <w:lang w:eastAsia="fr-FR"/>
        </w:rPr>
        <w:tab/>
        <w:t>STMicroelectronics</w:t>
      </w:r>
    </w:p>
    <w:p w14:paraId="3782059A" w14:textId="77777777" w:rsidR="00D26F39" w:rsidRPr="00672D1F" w:rsidRDefault="00D26F39" w:rsidP="00D26F39">
      <w:pPr>
        <w:tabs>
          <w:tab w:val="left" w:pos="2835"/>
        </w:tabs>
        <w:rPr>
          <w:rStyle w:val="Standard1"/>
          <w:rFonts w:ascii="Open Sans" w:hAnsi="Open Sans" w:cs="Open Sans"/>
          <w:lang w:eastAsia="fr-FR"/>
        </w:rPr>
      </w:pPr>
    </w:p>
    <w:p w14:paraId="541ED7C0" w14:textId="4D072E3E" w:rsidR="00131CB1" w:rsidRDefault="00131CB1" w:rsidP="00DC2830">
      <w:pPr>
        <w:pStyle w:val="Heading1"/>
        <w:rPr>
          <w:rStyle w:val="Standard1"/>
          <w:rFonts w:ascii="Open Sans" w:hAnsi="Open Sans" w:cs="Open Sans"/>
          <w:lang w:val="en-US" w:eastAsia="fr-FR"/>
        </w:rPr>
      </w:pPr>
      <w:r w:rsidRPr="00DC2830">
        <w:rPr>
          <w:rStyle w:val="Standard1"/>
          <w:rFonts w:ascii="Open Sans" w:hAnsi="Open Sans" w:cs="Open Sans"/>
          <w:lang w:val="en-US" w:eastAsia="fr-FR"/>
        </w:rPr>
        <w:t>INTRODUCTION</w:t>
      </w:r>
    </w:p>
    <w:p w14:paraId="3297A2EB" w14:textId="4266CAEE" w:rsidR="00672D1F" w:rsidRPr="004438B8" w:rsidRDefault="00DC2830" w:rsidP="004438B8">
      <w:pPr>
        <w:pStyle w:val="Heading2"/>
        <w:rPr>
          <w:rStyle w:val="Standard1"/>
          <w:rFonts w:ascii="Open Sans" w:hAnsi="Open Sans" w:cs="Open Sans"/>
          <w:lang w:val="en-US" w:eastAsia="fr-FR"/>
        </w:rPr>
      </w:pPr>
      <w:r w:rsidRPr="004438B8">
        <w:rPr>
          <w:rStyle w:val="Standard1"/>
          <w:rFonts w:ascii="Open Sans" w:hAnsi="Open Sans" w:cs="Open Sans"/>
          <w:lang w:val="en-US" w:eastAsia="fr-FR"/>
        </w:rPr>
        <w:t>Background</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066DFCF4" w:rsidR="00672D1F" w:rsidRDefault="00B265B8" w:rsidP="00672D1F">
      <w:pPr>
        <w:rPr>
          <w:rStyle w:val="Standard1"/>
          <w:rFonts w:ascii="Open Sans" w:hAnsi="Open Sans" w:cs="Open Sans"/>
          <w:lang w:eastAsia="fr-FR"/>
        </w:rPr>
      </w:pPr>
      <w:r>
        <w:rPr>
          <w:rStyle w:val="Standard1"/>
          <w:rFonts w:ascii="Open Sans" w:hAnsi="Open Sans" w:cs="Open Sans"/>
          <w:lang w:eastAsia="fr-FR"/>
        </w:rPr>
        <w:t>STM et al.</w:t>
      </w:r>
      <w:r w:rsidR="000630EA">
        <w:rPr>
          <w:rStyle w:val="Standard1"/>
          <w:rFonts w:ascii="Open Sans" w:hAnsi="Open Sans" w:cs="Open Sans"/>
          <w:lang w:eastAsia="fr-FR"/>
        </w:rPr>
        <w:t xml:space="preserve"> </w:t>
      </w:r>
      <w:r w:rsidR="00672D1F" w:rsidRPr="00672D1F">
        <w:rPr>
          <w:rStyle w:val="Standard1"/>
          <w:rFonts w:ascii="Open Sans" w:hAnsi="Open Sans" w:cs="Open Sans"/>
          <w:lang w:eastAsia="fr-FR"/>
        </w:rPr>
        <w:t xml:space="preserve">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bookmarkStart w:id="1" w:name="_Ref69496164"/>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53EF81C6" w14:textId="77777777" w:rsidR="004438B8" w:rsidRPr="00672D1F" w:rsidRDefault="004438B8" w:rsidP="004438B8">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Pr>
          <w:rStyle w:val="FootnoteReference"/>
          <w:rFonts w:cs="Open Sans"/>
        </w:rPr>
        <w:footnoteReference w:id="5"/>
      </w:r>
      <w:r w:rsidRPr="00672D1F">
        <w:rPr>
          <w:rStyle w:val="Standard1"/>
          <w:rFonts w:ascii="Open Sans" w:hAnsi="Open Sans" w:cs="Open Sans"/>
          <w:lang w:eastAsia="fr-FR"/>
        </w:rPr>
        <w:t xml:space="preserve"> </w:t>
      </w:r>
    </w:p>
    <w:p w14:paraId="26525B47" w14:textId="58B6ECB9" w:rsidR="004438B8" w:rsidRPr="00672D1F" w:rsidRDefault="004438B8" w:rsidP="004438B8">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below questions until </w:t>
      </w:r>
      <w:r w:rsidR="000630EA">
        <w:rPr>
          <w:rStyle w:val="Standard1"/>
          <w:rFonts w:ascii="Open Sans" w:hAnsi="Open Sans" w:cs="Open Sans"/>
          <w:lang w:eastAsia="fr-FR"/>
        </w:rPr>
        <w:t>the 27</w:t>
      </w:r>
      <w:r w:rsidR="000630EA" w:rsidRPr="000630EA">
        <w:rPr>
          <w:rStyle w:val="Standard1"/>
          <w:rFonts w:ascii="Open Sans" w:hAnsi="Open Sans" w:cs="Open Sans"/>
          <w:vertAlign w:val="superscript"/>
          <w:lang w:eastAsia="fr-FR"/>
        </w:rPr>
        <w:t>th</w:t>
      </w:r>
      <w:r w:rsidR="000630EA">
        <w:rPr>
          <w:rStyle w:val="Standard1"/>
          <w:rFonts w:ascii="Open Sans" w:hAnsi="Open Sans" w:cs="Open Sans"/>
          <w:lang w:eastAsia="fr-FR"/>
        </w:rPr>
        <w:t xml:space="preserve"> of May 2020.</w:t>
      </w:r>
    </w:p>
    <w:p w14:paraId="586EF55A" w14:textId="3FFDB290" w:rsidR="008E61BA" w:rsidRPr="00DC2830" w:rsidRDefault="008E61BA" w:rsidP="004438B8">
      <w:pPr>
        <w:pStyle w:val="Heading2"/>
        <w:rPr>
          <w:rStyle w:val="Standard1"/>
          <w:rFonts w:ascii="Open Sans" w:hAnsi="Open Sans" w:cs="Open Sans"/>
          <w:lang w:val="en-US" w:eastAsia="fr-FR"/>
        </w:rPr>
      </w:pPr>
      <w:r w:rsidRPr="00DC2830">
        <w:rPr>
          <w:rStyle w:val="Standard1"/>
          <w:rFonts w:ascii="Open Sans" w:hAnsi="Open Sans" w:cs="Open Sans"/>
          <w:lang w:val="en-US" w:eastAsia="fr-FR"/>
        </w:rPr>
        <w:lastRenderedPageBreak/>
        <w:t>S</w:t>
      </w:r>
      <w:r w:rsidR="00DC2830">
        <w:rPr>
          <w:rStyle w:val="Standard1"/>
          <w:rFonts w:ascii="Open Sans" w:hAnsi="Open Sans" w:cs="Open Sans"/>
          <w:lang w:val="en-US" w:eastAsia="fr-FR"/>
        </w:rPr>
        <w:t>ummary of the</w:t>
      </w:r>
      <w:r w:rsidR="00D26F39" w:rsidRPr="00DC2830">
        <w:rPr>
          <w:rStyle w:val="Standard1"/>
          <w:rFonts w:ascii="Open Sans" w:hAnsi="Open Sans" w:cs="Open Sans"/>
          <w:lang w:val="en-US" w:eastAsia="fr-FR"/>
        </w:rPr>
        <w:t xml:space="preserve"> </w:t>
      </w:r>
      <w:r w:rsidR="00DC2830">
        <w:rPr>
          <w:rStyle w:val="Standard1"/>
          <w:rFonts w:ascii="Open Sans" w:hAnsi="Open Sans" w:cs="Open Sans"/>
          <w:lang w:val="en-US" w:eastAsia="fr-FR"/>
        </w:rPr>
        <w:t>Exemption Request</w:t>
      </w:r>
      <w:r w:rsidR="00266F95">
        <w:rPr>
          <w:rStyle w:val="Standard1"/>
          <w:rFonts w:ascii="Open Sans" w:hAnsi="Open Sans" w:cs="Open Sans"/>
          <w:lang w:val="en-US" w:eastAsia="fr-FR"/>
        </w:rPr>
        <w:t xml:space="preserve"> </w:t>
      </w:r>
    </w:p>
    <w:p w14:paraId="601189FC" w14:textId="77777777" w:rsidR="00266F95" w:rsidRPr="001A0290" w:rsidRDefault="00266F95" w:rsidP="001A0290">
      <w:pPr>
        <w:rPr>
          <w:rStyle w:val="Standard1"/>
          <w:rFonts w:ascii="Open Sans" w:hAnsi="Open Sans" w:cs="Open Sans"/>
          <w:lang w:eastAsia="fr-FR"/>
        </w:rPr>
      </w:pPr>
      <w:r w:rsidRPr="001A0290">
        <w:rPr>
          <w:rStyle w:val="Standard1"/>
          <w:rFonts w:ascii="Open Sans" w:hAnsi="Open Sans" w:cs="Open Sans"/>
          <w:lang w:eastAsia="fr-FR"/>
        </w:rPr>
        <w:t xml:space="preserve">Solder bumps are minute solder spheres (typically ~80um in diameter) connecting a Silicon (or other semiconductor) die with a carrier in flip chip Application Specific Integrated Circuit (ASIC) packages. The bump solder joint is extremely sensitive: stress resulting from the large mismatch in the coefficient of thermal expansion (CTE) between the silicon (or other semiconductor) die and the carrier is concentrated at the small bump interface area and transferred by the bump to the fragile low-K dielectric layers inside the Semiconductor die. In addition, the hair- thin solder connection itself needs to withstand these high stresses. </w:t>
      </w:r>
    </w:p>
    <w:p w14:paraId="1BE77AE4" w14:textId="307A79F8" w:rsidR="00266F95" w:rsidRPr="001A0290" w:rsidRDefault="00266F95" w:rsidP="001A0290">
      <w:pPr>
        <w:rPr>
          <w:rStyle w:val="Standard1"/>
          <w:rFonts w:ascii="Open Sans" w:hAnsi="Open Sans" w:cs="Open Sans"/>
          <w:lang w:eastAsia="fr-FR"/>
        </w:rPr>
      </w:pPr>
      <w:r w:rsidRPr="001A0290">
        <w:rPr>
          <w:rStyle w:val="Standard1"/>
          <w:rFonts w:ascii="Open Sans" w:hAnsi="Open Sans" w:cs="Open Sans"/>
          <w:lang w:eastAsia="fr-FR"/>
        </w:rPr>
        <w:t xml:space="preserve">Lead- containing solder materials are softer and more ductile than lead- free solders. They have a better ability to absorb stresses resulting from CTE mismatch between semiconductor and carrier and transfer less stress to the low-K dielectric layers. In addition, they can better withstand stress and are less prone to solder cracking. Leaded solders can provide a lower melting temperature, thus require lower processing temperature creating less package stress. The use of leaded solders helps resolve failures such as cracks in low- K dielectric layers, solder cracks, silicon cracks, delamination and package </w:t>
      </w:r>
      <w:proofErr w:type="spellStart"/>
      <w:r w:rsidRPr="001A0290">
        <w:rPr>
          <w:rStyle w:val="Standard1"/>
          <w:rFonts w:ascii="Open Sans" w:hAnsi="Open Sans" w:cs="Open Sans"/>
          <w:lang w:eastAsia="fr-FR"/>
        </w:rPr>
        <w:t>warpage.Older</w:t>
      </w:r>
      <w:proofErr w:type="spellEnd"/>
      <w:r w:rsidRPr="001A0290">
        <w:rPr>
          <w:rStyle w:val="Standard1"/>
          <w:rFonts w:ascii="Open Sans" w:hAnsi="Open Sans" w:cs="Open Sans"/>
          <w:lang w:eastAsia="fr-FR"/>
        </w:rPr>
        <w:t xml:space="preserve"> flip chip product technologies, flip chip products with large die and large interposers for stacked die, are not able to meet long-term reliability requirements with lead-free solder bumps on the die. Older product technologies are defined as those having transistor gate lengths of 90nm and longer. Large die and large interposers are defined as being 300mm2 (300 mm2 for monolithic die and large interposers) or larger. </w:t>
      </w:r>
    </w:p>
    <w:p w14:paraId="1A62375A" w14:textId="77777777" w:rsidR="00266F95" w:rsidRPr="001A0290" w:rsidRDefault="00266F95" w:rsidP="001A0290">
      <w:pPr>
        <w:rPr>
          <w:rStyle w:val="Standard1"/>
          <w:rFonts w:ascii="Open Sans" w:hAnsi="Open Sans" w:cs="Open Sans"/>
          <w:lang w:eastAsia="fr-FR"/>
        </w:rPr>
      </w:pPr>
      <w:r w:rsidRPr="001A0290">
        <w:rPr>
          <w:rStyle w:val="Standard1"/>
          <w:rFonts w:ascii="Open Sans" w:hAnsi="Open Sans" w:cs="Open Sans"/>
          <w:lang w:eastAsia="fr-FR"/>
        </w:rPr>
        <w:t xml:space="preserve">Flip chips are commonly used in long life, high reliability applications that remain in the field for over 20 years and require continuous availability as replacement parts. Legacy flip chip devices and many large die devices are older products that have declining volume year-on-year making it difficult to justify an all-layer and material redesign (this is usually not technically possible, as described in this renewal request). Removing these products from the market would create long supply gaps with minimal impact on the amount of lead in the EU market, but prevent the sale of many types of products in the EU. </w:t>
      </w:r>
    </w:p>
    <w:p w14:paraId="44F225DA" w14:textId="35FBEBA8" w:rsidR="00266F95" w:rsidRPr="001A0290" w:rsidRDefault="00266F95" w:rsidP="001A0290">
      <w:pPr>
        <w:rPr>
          <w:rStyle w:val="Standard1"/>
          <w:rFonts w:ascii="Open Sans" w:hAnsi="Open Sans" w:cs="Open Sans"/>
          <w:lang w:eastAsia="fr-FR"/>
        </w:rPr>
      </w:pPr>
      <w:r w:rsidRPr="001A0290">
        <w:rPr>
          <w:rStyle w:val="Standard1"/>
          <w:rFonts w:ascii="Open Sans" w:hAnsi="Open Sans" w:cs="Open Sans"/>
          <w:lang w:eastAsia="fr-FR"/>
        </w:rPr>
        <w:t xml:space="preserve">Silicon technology nodes with transistor gate lengths longer than 250 nm used aluminum interconnect in the wafer processing backend. Later on, industry had to migrate to copper interconnect due to device performance expectations and increased circuit densities. Devices on the 250nm to 90nm technology nodes converted to a common low dielectric constant film (low-k): fluorinated tetraethyl orthosilicate (F-TEOS). F-TEOS made copper interconnect possible. At the time, F-TEOS was a breakthrough in materials engineering and from an electrical perspective it reduced capacitance in the silicon wafer backend dielectric stack. Reducing the resistance of interconnect wiring and reducing the capacitance of the interlayer dielectric (ILD) allow for higher device clock speeds. Dielectric capacitance was significantly reduced with F-TEOS when compared to the dielectrics used earlier in the semiconductor industry. The porous nature of the film is what reduces the capacitance and F-TEOS offered improved electrical performance at the expense of film mechanical strength. </w:t>
      </w:r>
    </w:p>
    <w:p w14:paraId="06045207" w14:textId="00F073FE" w:rsidR="00DC2830" w:rsidRDefault="00266F95" w:rsidP="001A0290">
      <w:pPr>
        <w:rPr>
          <w:rStyle w:val="Standard1"/>
          <w:rFonts w:ascii="Open Sans" w:hAnsi="Open Sans" w:cs="Open Sans"/>
          <w:lang w:eastAsia="fr-FR"/>
        </w:rPr>
      </w:pPr>
      <w:r w:rsidRPr="001A0290">
        <w:rPr>
          <w:rStyle w:val="Standard1"/>
          <w:rFonts w:ascii="Open Sans" w:hAnsi="Open Sans" w:cs="Open Sans"/>
          <w:lang w:eastAsia="fr-FR"/>
        </w:rPr>
        <w:t xml:space="preserve">The low mechanical strength of F-TEOS makes it susceptible to dielectric fracturing beneath the under bump metallization (UBM) on the silicon chip (die) with lead-free wafer bumps, due to the increased stresses imposed. This does not occur with leaded C4 (controlled collapse chip connection) wafer bumps. Lead-free wafer bumps are significantly less ductile than those containing lead, and the observed failure mode mechanism is driven by coefficient of thermal expansion mismatch between the silicon die and the carrier which transfers the strain to the less ductile lead-free bump and the fragile F-TEOS dielectric. Fracturing of the dielectric with Pb-free wafer bumps is commonly referred to as “ghost” </w:t>
      </w:r>
      <w:proofErr w:type="spellStart"/>
      <w:r w:rsidRPr="001A0290">
        <w:rPr>
          <w:rStyle w:val="Standard1"/>
          <w:rFonts w:ascii="Open Sans" w:hAnsi="Open Sans" w:cs="Open Sans"/>
          <w:lang w:eastAsia="fr-FR"/>
        </w:rPr>
        <w:t>or“white</w:t>
      </w:r>
      <w:proofErr w:type="spellEnd"/>
      <w:r w:rsidRPr="001A0290">
        <w:rPr>
          <w:rStyle w:val="Standard1"/>
          <w:rFonts w:ascii="Open Sans" w:hAnsi="Open Sans" w:cs="Open Sans"/>
          <w:lang w:eastAsia="fr-FR"/>
        </w:rPr>
        <w:t>” bumps due to the way they appear by acoustic imaging. Not only can the failure mode reduce assembly yields, it can also adversely impact product</w:t>
      </w:r>
      <w:r w:rsidR="00377B01" w:rsidRPr="001A0290">
        <w:rPr>
          <w:rStyle w:val="Standard1"/>
          <w:rFonts w:ascii="Open Sans" w:hAnsi="Open Sans" w:cs="Open Sans"/>
          <w:lang w:eastAsia="fr-FR"/>
        </w:rPr>
        <w:t xml:space="preserve"> </w:t>
      </w:r>
      <w:proofErr w:type="spellStart"/>
      <w:r w:rsidRPr="001A0290">
        <w:rPr>
          <w:rStyle w:val="Standard1"/>
          <w:rFonts w:ascii="Open Sans" w:hAnsi="Open Sans" w:cs="Open Sans"/>
          <w:lang w:eastAsia="fr-FR"/>
        </w:rPr>
        <w:t>reliability.The</w:t>
      </w:r>
      <w:proofErr w:type="spellEnd"/>
      <w:r w:rsidRPr="001A0290">
        <w:rPr>
          <w:rStyle w:val="Standard1"/>
          <w:rFonts w:ascii="Open Sans" w:hAnsi="Open Sans" w:cs="Open Sans"/>
          <w:lang w:eastAsia="fr-FR"/>
        </w:rPr>
        <w:t xml:space="preserve"> failure may not be caught when a unit</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goes through component assembly and final</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test</w:t>
      </w:r>
      <w:r w:rsidR="00377B01" w:rsidRPr="001A0290">
        <w:rPr>
          <w:rStyle w:val="Standard1"/>
          <w:rFonts w:ascii="Open Sans" w:hAnsi="Open Sans" w:cs="Open Sans"/>
          <w:lang w:eastAsia="fr-FR"/>
        </w:rPr>
        <w:t>ing</w:t>
      </w:r>
      <w:r w:rsidRPr="001A0290">
        <w:rPr>
          <w:rStyle w:val="Standard1"/>
          <w:rFonts w:ascii="Open Sans" w:hAnsi="Open Sans" w:cs="Open Sans"/>
          <w:lang w:eastAsia="fr-FR"/>
        </w:rPr>
        <w:t>.</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Compromised units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that</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 xml:space="preserve">ship </w:t>
      </w:r>
      <w:proofErr w:type="gramStart"/>
      <w:r w:rsidRPr="001A0290">
        <w:rPr>
          <w:rStyle w:val="Standard1"/>
          <w:rFonts w:ascii="Open Sans" w:hAnsi="Open Sans" w:cs="Open Sans"/>
          <w:lang w:eastAsia="fr-FR"/>
        </w:rPr>
        <w:t>are</w:t>
      </w:r>
      <w:proofErr w:type="gramEnd"/>
      <w:r w:rsidRPr="001A0290">
        <w:rPr>
          <w:rStyle w:val="Standard1"/>
          <w:rFonts w:ascii="Open Sans" w:hAnsi="Open Sans" w:cs="Open Sans"/>
          <w:lang w:eastAsia="fr-FR"/>
        </w:rPr>
        <w:t xml:space="preserve"> at</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high risk of</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failing during</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the customer’s board level assembly</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processor</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in the field.</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The</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failure</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rates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are</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unacceptably high</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This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failure mode does not occur</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with wafer</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bumps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that</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 xml:space="preserve">contain </w:t>
      </w:r>
      <w:r w:rsidR="00377B01" w:rsidRPr="001A0290">
        <w:rPr>
          <w:rStyle w:val="Standard1"/>
          <w:rFonts w:ascii="Open Sans" w:hAnsi="Open Sans" w:cs="Open Sans"/>
          <w:lang w:eastAsia="fr-FR"/>
        </w:rPr>
        <w:t>l</w:t>
      </w:r>
      <w:r w:rsidRPr="001A0290">
        <w:rPr>
          <w:rStyle w:val="Standard1"/>
          <w:rFonts w:ascii="Open Sans" w:hAnsi="Open Sans" w:cs="Open Sans"/>
          <w:lang w:eastAsia="fr-FR"/>
        </w:rPr>
        <w:t>ead</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because</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leaded bumps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absorb the</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stress</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associated</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with the coefficient of</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thermal expansion mismatch between the silicon chip and the substrate to</w:t>
      </w:r>
      <w:r w:rsidR="00377B01" w:rsidRPr="001A0290">
        <w:rPr>
          <w:rStyle w:val="Standard1"/>
          <w:rFonts w:ascii="Open Sans" w:hAnsi="Open Sans" w:cs="Open Sans"/>
          <w:lang w:eastAsia="fr-FR"/>
        </w:rPr>
        <w:t xml:space="preserve"> </w:t>
      </w:r>
      <w:r w:rsidRPr="001A0290">
        <w:rPr>
          <w:rStyle w:val="Standard1"/>
          <w:rFonts w:ascii="Open Sans" w:hAnsi="Open Sans" w:cs="Open Sans"/>
          <w:lang w:eastAsia="fr-FR"/>
        </w:rPr>
        <w:t>which the solder attaches.</w:t>
      </w:r>
    </w:p>
    <w:p w14:paraId="21D27F3D" w14:textId="77777777" w:rsidR="00DC2830" w:rsidRPr="00672D1F" w:rsidRDefault="00DC2830" w:rsidP="00672D1F">
      <w:pPr>
        <w:rPr>
          <w:rStyle w:val="Standard1"/>
          <w:rFonts w:ascii="Open Sans" w:hAnsi="Open Sans" w:cs="Open Sans"/>
          <w:lang w:eastAsia="fr-FR"/>
        </w:rPr>
      </w:pPr>
    </w:p>
    <w:p w14:paraId="560A9F61" w14:textId="77777777" w:rsidR="00672D1F" w:rsidRPr="009F5D18" w:rsidRDefault="00672D1F" w:rsidP="00DC2830">
      <w:pPr>
        <w:pStyle w:val="Heading1"/>
        <w:rPr>
          <w:rStyle w:val="Standard1"/>
          <w:rFonts w:ascii="Open Sans" w:hAnsi="Open Sans" w:cs="Open Sans"/>
          <w:lang w:eastAsia="fr-FR"/>
        </w:rPr>
      </w:pPr>
      <w:r w:rsidRPr="009F5D18">
        <w:rPr>
          <w:rStyle w:val="Standard1"/>
          <w:rFonts w:ascii="Open Sans" w:hAnsi="Open Sans" w:cs="Open Sans"/>
          <w:lang w:eastAsia="fr-FR"/>
        </w:rPr>
        <w:lastRenderedPageBreak/>
        <w:t>Questions</w:t>
      </w:r>
    </w:p>
    <w:p w14:paraId="29AF80AD" w14:textId="612875CD" w:rsidR="008E61BA" w:rsidRDefault="00B95D07" w:rsidP="00D05732">
      <w:pPr>
        <w:numPr>
          <w:ilvl w:val="0"/>
          <w:numId w:val="28"/>
        </w:numPr>
        <w:rPr>
          <w:rStyle w:val="Standard1"/>
          <w:rFonts w:ascii="Open Sans" w:hAnsi="Open Sans" w:cs="Open Sans"/>
          <w:lang w:eastAsia="fr-FR"/>
        </w:rPr>
      </w:pPr>
      <w:bookmarkStart w:id="2" w:name="_Ref50047031"/>
      <w:r>
        <w:rPr>
          <w:rStyle w:val="Standard1"/>
          <w:rFonts w:ascii="Open Sans" w:hAnsi="Open Sans" w:cs="Open Sans"/>
          <w:lang w:eastAsia="fr-FR"/>
        </w:rPr>
        <w:t xml:space="preserve">STM et al. </w:t>
      </w:r>
      <w:r w:rsidR="00672D1F" w:rsidRPr="00672D1F">
        <w:rPr>
          <w:rStyle w:val="Standard1"/>
          <w:rFonts w:ascii="Open Sans" w:hAnsi="Open Sans" w:cs="Open Sans"/>
          <w:lang w:eastAsia="fr-FR"/>
        </w:rPr>
        <w:t>requested the renewal</w:t>
      </w:r>
      <w:r w:rsidR="000630EA">
        <w:rPr>
          <w:rStyle w:val="Standard1"/>
          <w:rFonts w:ascii="Open Sans" w:hAnsi="Open Sans" w:cs="Open Sans"/>
          <w:lang w:eastAsia="fr-FR"/>
        </w:rPr>
        <w:fldChar w:fldCharType="begin"/>
      </w:r>
      <w:r w:rsidR="000630EA">
        <w:rPr>
          <w:rStyle w:val="Standard1"/>
          <w:rFonts w:ascii="Open Sans" w:hAnsi="Open Sans" w:cs="Open Sans"/>
          <w:lang w:eastAsia="fr-FR"/>
        </w:rPr>
        <w:instrText xml:space="preserve"> NOTEREF _Ref69496164 \f \h </w:instrText>
      </w:r>
      <w:r w:rsidR="000630EA">
        <w:rPr>
          <w:rStyle w:val="Standard1"/>
          <w:rFonts w:ascii="Open Sans" w:hAnsi="Open Sans" w:cs="Open Sans"/>
          <w:lang w:eastAsia="fr-FR"/>
        </w:rPr>
      </w:r>
      <w:r w:rsidR="000630EA">
        <w:rPr>
          <w:rStyle w:val="Standard1"/>
          <w:rFonts w:ascii="Open Sans" w:hAnsi="Open Sans" w:cs="Open Sans"/>
          <w:lang w:eastAsia="fr-FR"/>
        </w:rPr>
        <w:fldChar w:fldCharType="separate"/>
      </w:r>
      <w:r w:rsidR="000630EA" w:rsidRPr="000630EA">
        <w:rPr>
          <w:rStyle w:val="FootnoteReference"/>
        </w:rPr>
        <w:t>2</w:t>
      </w:r>
      <w:r w:rsidR="000630EA">
        <w:rPr>
          <w:rStyle w:val="Standard1"/>
          <w:rFonts w:ascii="Open Sans" w:hAnsi="Open Sans" w:cs="Open Sans"/>
          <w:lang w:eastAsia="fr-FR"/>
        </w:rPr>
        <w:fldChar w:fldCharType="end"/>
      </w:r>
      <w:r w:rsidR="00672D1F" w:rsidRPr="00672D1F">
        <w:rPr>
          <w:rStyle w:val="Standard1"/>
          <w:rFonts w:ascii="Open Sans" w:hAnsi="Open Sans" w:cs="Open Sans"/>
          <w:lang w:eastAsia="fr-FR"/>
        </w:rPr>
        <w:t xml:space="preserve"> </w:t>
      </w:r>
      <w:r w:rsidR="008E61BA">
        <w:rPr>
          <w:rStyle w:val="Standard1"/>
          <w:rFonts w:ascii="Open Sans" w:hAnsi="Open Sans" w:cs="Open Sans"/>
          <w:lang w:eastAsia="fr-FR"/>
        </w:rPr>
        <w:t>of the above</w:t>
      </w:r>
      <w:r w:rsidR="00672D1F" w:rsidRPr="00672D1F">
        <w:rPr>
          <w:rStyle w:val="Standard1"/>
          <w:rFonts w:ascii="Open Sans" w:hAnsi="Open Sans" w:cs="Open Sans"/>
          <w:lang w:eastAsia="fr-FR"/>
        </w:rPr>
        <w:t xml:space="preserve"> exemption</w:t>
      </w:r>
      <w:r>
        <w:rPr>
          <w:rStyle w:val="Standard1"/>
          <w:rFonts w:ascii="Open Sans" w:hAnsi="Open Sans" w:cs="Open Sans"/>
          <w:lang w:eastAsia="fr-FR"/>
        </w:rPr>
        <w:t>s with the following wording</w:t>
      </w:r>
      <w:r w:rsidR="00543E0E">
        <w:rPr>
          <w:rStyle w:val="Standard1"/>
          <w:rFonts w:ascii="Open Sans" w:hAnsi="Open Sans" w:cs="Open Sans"/>
          <w:lang w:eastAsia="fr-FR"/>
        </w:rPr>
        <w:t xml:space="preserve"> </w:t>
      </w:r>
      <w:r w:rsidR="00D26F39">
        <w:rPr>
          <w:rStyle w:val="Standard1"/>
          <w:rFonts w:ascii="Open Sans" w:hAnsi="Open Sans" w:cs="Open Sans"/>
          <w:lang w:eastAsia="fr-FR"/>
        </w:rPr>
        <w:t xml:space="preserve">for </w:t>
      </w:r>
      <w:r>
        <w:rPr>
          <w:rStyle w:val="Standard1"/>
          <w:rFonts w:ascii="Open Sans" w:hAnsi="Open Sans" w:cs="Open Sans"/>
          <w:lang w:eastAsia="fr-FR"/>
        </w:rPr>
        <w:t>the maximum validity periods of 5 years for cat. 1-7 and 10 and for 7 years for cat. 8 and 9</w:t>
      </w:r>
      <w:r w:rsidR="00672D1F" w:rsidRPr="00672D1F">
        <w:rPr>
          <w:rStyle w:val="Standard1"/>
          <w:rFonts w:ascii="Open Sans" w:hAnsi="Open Sans" w:cs="Open Sans"/>
          <w:lang w:eastAsia="fr-FR"/>
        </w:rPr>
        <w:t>:</w:t>
      </w:r>
      <w:bookmarkEnd w:id="2"/>
      <w:r w:rsidR="00543E0E">
        <w:rPr>
          <w:rStyle w:val="Standard1"/>
          <w:rFonts w:ascii="Open Sans" w:hAnsi="Open Sans" w:cs="Open Sans"/>
          <w:lang w:eastAsia="fr-FR"/>
        </w:rPr>
        <w:t xml:space="preserve"> </w:t>
      </w:r>
    </w:p>
    <w:p w14:paraId="4D4CBF11" w14:textId="4C18CFA9" w:rsidR="00EE3356" w:rsidRPr="005E09EE" w:rsidRDefault="00377B01" w:rsidP="005E09EE">
      <w:pPr>
        <w:ind w:left="360"/>
        <w:rPr>
          <w:rStyle w:val="Standard1"/>
          <w:rFonts w:ascii="Open Sans" w:hAnsi="Open Sans" w:cs="Open Sans"/>
          <w:lang w:eastAsia="fr-FR"/>
        </w:rPr>
      </w:pPr>
      <w:r w:rsidRPr="00572E28">
        <w:rPr>
          <w:rStyle w:val="Standard1"/>
          <w:noProof/>
          <w:lang w:val="de-DE" w:eastAsia="de-DE"/>
        </w:rPr>
        <w:drawing>
          <wp:inline distT="0" distB="0" distL="0" distR="0" wp14:anchorId="33249B61" wp14:editId="1E69AD49">
            <wp:extent cx="6119495" cy="46570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4657090"/>
                    </a:xfrm>
                    <a:prstGeom prst="rect">
                      <a:avLst/>
                    </a:prstGeom>
                  </pic:spPr>
                </pic:pic>
              </a:graphicData>
            </a:graphic>
          </wp:inline>
        </w:drawing>
      </w:r>
    </w:p>
    <w:p w14:paraId="0FB8AD8A" w14:textId="6A753AF5"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w:t>
      </w:r>
      <w:r w:rsidR="005E09EE">
        <w:rPr>
          <w:rStyle w:val="Standard1"/>
          <w:rFonts w:ascii="Open Sans" w:hAnsi="Open Sans" w:cs="Open Sans"/>
          <w:lang w:eastAsia="fr-FR"/>
        </w:rPr>
        <w:t xml:space="preserve"> with the wording, scope and re</w:t>
      </w:r>
      <w:r w:rsidRPr="00D05732">
        <w:rPr>
          <w:rStyle w:val="Standard1"/>
          <w:rFonts w:ascii="Open Sans" w:hAnsi="Open Sans" w:cs="Open Sans"/>
          <w:lang w:eastAsia="fr-FR"/>
        </w:rPr>
        <w:t>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0231A80" w14:textId="77777777" w:rsidR="00CF138A" w:rsidRDefault="00CF138A" w:rsidP="00EE3356">
      <w:pPr>
        <w:ind w:left="1080"/>
        <w:rPr>
          <w:rStyle w:val="Standard1"/>
          <w:rFonts w:ascii="Open Sans" w:hAnsi="Open Sans" w:cs="Open Sans"/>
          <w:lang w:eastAsia="fr-FR"/>
        </w:rPr>
      </w:pPr>
    </w:p>
    <w:p w14:paraId="2D1E4773" w14:textId="625919C3"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roofErr w:type="gramStart"/>
      <w:r w:rsidR="005E09EE">
        <w:rPr>
          <w:rStyle w:val="Standard1"/>
          <w:rFonts w:ascii="Open Sans" w:hAnsi="Open Sans" w:cs="Open Sans"/>
          <w:lang w:eastAsia="fr-FR"/>
        </w:rPr>
        <w:t>In particular please</w:t>
      </w:r>
      <w:proofErr w:type="gramEnd"/>
      <w:r w:rsidR="005E09EE">
        <w:rPr>
          <w:rStyle w:val="Standard1"/>
          <w:rFonts w:ascii="Open Sans" w:hAnsi="Open Sans" w:cs="Open Sans"/>
          <w:lang w:eastAsia="fr-FR"/>
        </w:rPr>
        <w:t xml:space="preserve"> let us know whether the proposed criteria as to the 300 mm² die size in association with the technology nodes still reflect the current state of science and technology of lead substitution or elimination. </w:t>
      </w:r>
      <w:r w:rsidR="00204A5E">
        <w:rPr>
          <w:rStyle w:val="Standard1"/>
          <w:rFonts w:ascii="Open Sans" w:hAnsi="Open Sans" w:cs="Open Sans"/>
          <w:lang w:eastAsia="fr-FR"/>
        </w:rPr>
        <w:t xml:space="preserve">Further, </w:t>
      </w:r>
      <w:r w:rsidR="005E09EE">
        <w:rPr>
          <w:rStyle w:val="Standard1"/>
          <w:rFonts w:ascii="Open Sans" w:hAnsi="Open Sans" w:cs="Open Sans"/>
          <w:lang w:eastAsia="fr-FR"/>
        </w:rPr>
        <w:t xml:space="preserve">it would be important to understand whether the replacement of silicon by plastics interposers in modern FCPs makes the respective part of the above exemption 15(b) dispensable. </w:t>
      </w:r>
      <w:r w:rsidR="00204A5E">
        <w:rPr>
          <w:rStyle w:val="Standard1"/>
          <w:rFonts w:ascii="Open Sans" w:hAnsi="Open Sans" w:cs="Open Sans"/>
          <w:lang w:eastAsia="fr-FR"/>
        </w:rPr>
        <w:br/>
        <w:t xml:space="preserve">Note: </w:t>
      </w:r>
      <w:r w:rsidR="001A0290">
        <w:rPr>
          <w:rStyle w:val="Standard1"/>
          <w:rFonts w:ascii="Open Sans" w:hAnsi="Open Sans" w:cs="Open Sans"/>
          <w:lang w:eastAsia="fr-FR"/>
        </w:rPr>
        <w:t>The</w:t>
      </w:r>
      <w:r w:rsidR="00204A5E">
        <w:rPr>
          <w:rStyle w:val="Standard1"/>
          <w:rFonts w:ascii="Open Sans" w:hAnsi="Open Sans" w:cs="Open Sans"/>
          <w:lang w:eastAsia="fr-FR"/>
        </w:rPr>
        <w:t xml:space="preserve"> redesign of “old” design FCPs is not </w:t>
      </w:r>
      <w:r w:rsidR="001A0290">
        <w:rPr>
          <w:rStyle w:val="Standard1"/>
          <w:rFonts w:ascii="Open Sans" w:hAnsi="Open Sans" w:cs="Open Sans"/>
          <w:lang w:eastAsia="fr-FR"/>
        </w:rPr>
        <w:t>in the scope of this question</w:t>
      </w:r>
      <w:r w:rsidR="00204A5E">
        <w:rPr>
          <w:rStyle w:val="Standard1"/>
          <w:rFonts w:ascii="Open Sans" w:hAnsi="Open Sans" w:cs="Open Sans"/>
          <w:lang w:eastAsia="fr-FR"/>
        </w:rPr>
        <w:t>. We therefore ask you to relate your answers to modern design FCPs that were from the beginning designed to accommodate the needs of lead-free solders</w:t>
      </w:r>
      <w:r w:rsidR="001A0290">
        <w:rPr>
          <w:rStyle w:val="Standard1"/>
          <w:rFonts w:ascii="Open Sans" w:hAnsi="Open Sans" w:cs="Open Sans"/>
          <w:lang w:eastAsia="fr-FR"/>
        </w:rPr>
        <w:t xml:space="preserve"> to understand the state of science and technology.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lastRenderedPageBreak/>
        <w:t>Please provide information as to research to find alternatives that do not rely on the exemption under review (substitution or elimination), and which may cover part or all of the applications in the scope of the exemption request.</w:t>
      </w:r>
    </w:p>
    <w:p w14:paraId="7A4ABB33" w14:textId="21F22FAA" w:rsid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w:t>
      </w:r>
      <w:proofErr w:type="gramStart"/>
      <w:r w:rsidRPr="00672D1F">
        <w:rPr>
          <w:rStyle w:val="Standard1"/>
          <w:rFonts w:ascii="Open Sans" w:hAnsi="Open Sans" w:cs="Open Sans"/>
          <w:lang w:eastAsia="fr-FR"/>
        </w:rPr>
        <w:t>current status</w:t>
      </w:r>
      <w:proofErr w:type="gramEnd"/>
      <w:r w:rsidRPr="00672D1F">
        <w:rPr>
          <w:rStyle w:val="Standard1"/>
          <w:rFonts w:ascii="Open Sans" w:hAnsi="Open Sans" w:cs="Open Sans"/>
          <w:lang w:eastAsia="fr-FR"/>
        </w:rPr>
        <w:t xml:space="preserve"> as well as the estimated time needed for further stages. </w:t>
      </w:r>
    </w:p>
    <w:p w14:paraId="631B5968" w14:textId="77777777" w:rsidR="00204A5E" w:rsidRPr="00672D1F" w:rsidRDefault="00204A5E" w:rsidP="00204A5E">
      <w:pPr>
        <w:ind w:left="1440"/>
        <w:rPr>
          <w:rStyle w:val="Standard1"/>
          <w:rFonts w:ascii="Open Sans" w:hAnsi="Open Sans" w:cs="Open Sans"/>
          <w:lang w:eastAsia="fr-FR"/>
        </w:rPr>
      </w:pPr>
    </w:p>
    <w:p w14:paraId="0A2C10B5" w14:textId="72A02CCA" w:rsidR="00EE3356" w:rsidRPr="006711CF" w:rsidRDefault="00204A5E" w:rsidP="006711CF">
      <w:pPr>
        <w:numPr>
          <w:ilvl w:val="0"/>
          <w:numId w:val="33"/>
        </w:numPr>
        <w:rPr>
          <w:rStyle w:val="Standard1"/>
          <w:rFonts w:ascii="Open Sans" w:hAnsi="Open Sans" w:cs="Open Sans"/>
          <w:lang w:eastAsia="fr-FR"/>
        </w:rPr>
      </w:pPr>
      <w:r>
        <w:rPr>
          <w:rStyle w:val="Standard1"/>
          <w:rFonts w:ascii="Open Sans" w:hAnsi="Open Sans" w:cs="Open Sans"/>
          <w:lang w:eastAsia="fr-FR"/>
        </w:rPr>
        <w:t xml:space="preserve">Are you aware of </w:t>
      </w:r>
      <w:r w:rsidRPr="006711CF">
        <w:rPr>
          <w:rStyle w:val="Standard1"/>
          <w:rFonts w:ascii="Open Sans" w:hAnsi="Open Sans" w:cs="Open Sans"/>
          <w:lang w:eastAsia="fr-FR"/>
        </w:rPr>
        <w:t xml:space="preserve">any </w:t>
      </w:r>
      <w:r w:rsidR="00F040BE" w:rsidRPr="006711CF">
        <w:rPr>
          <w:rStyle w:val="Standard1"/>
          <w:rFonts w:ascii="Open Sans" w:hAnsi="Open Sans" w:cs="Open Sans"/>
          <w:lang w:eastAsia="fr-FR"/>
        </w:rPr>
        <w:t xml:space="preserve">EEE of category 11 that </w:t>
      </w:r>
      <w:r w:rsidR="006711CF">
        <w:rPr>
          <w:rStyle w:val="Standard1"/>
          <w:rFonts w:ascii="Open Sans" w:hAnsi="Open Sans" w:cs="Open Sans"/>
          <w:lang w:eastAsia="fr-FR"/>
        </w:rPr>
        <w:t>require the use of</w:t>
      </w:r>
      <w:r w:rsidRPr="006711CF">
        <w:rPr>
          <w:rStyle w:val="Standard1"/>
          <w:rFonts w:ascii="Open Sans" w:hAnsi="Open Sans" w:cs="Open Sans"/>
          <w:lang w:eastAsia="fr-FR"/>
        </w:rPr>
        <w:t xml:space="preserve"> </w:t>
      </w:r>
      <w:r w:rsidR="006711CF">
        <w:rPr>
          <w:rStyle w:val="Standard1"/>
          <w:rFonts w:ascii="Open Sans" w:hAnsi="Open Sans" w:cs="Open Sans"/>
          <w:lang w:eastAsia="fr-FR"/>
        </w:rPr>
        <w:t>exemptions 15 or</w:t>
      </w:r>
      <w:r w:rsidRPr="006711CF">
        <w:rPr>
          <w:rStyle w:val="Standard1"/>
          <w:rFonts w:ascii="Open Sans" w:hAnsi="Open Sans" w:cs="Open Sans"/>
          <w:lang w:eastAsia="fr-FR"/>
        </w:rPr>
        <w:t xml:space="preserve"> 15(a)?</w:t>
      </w:r>
    </w:p>
    <w:p w14:paraId="685E65E2" w14:textId="77777777" w:rsidR="00F040BE" w:rsidRDefault="00F040BE" w:rsidP="00204A5E">
      <w:pPr>
        <w:ind w:left="720"/>
        <w:rPr>
          <w:rStyle w:val="Standard1"/>
          <w:rFonts w:ascii="Open Sans" w:hAnsi="Open Sans" w:cs="Open Sans"/>
          <w:lang w:eastAsia="fr-FR"/>
        </w:rPr>
      </w:pPr>
    </w:p>
    <w:p w14:paraId="1FFC81AD" w14:textId="04534934"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6CB848D"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39AD5355" w:rsidR="00EE7D6A"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e-mail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p w14:paraId="4962B1A7" w14:textId="3755FC45" w:rsidR="00F92506" w:rsidRPr="00EE3356" w:rsidRDefault="00F92506" w:rsidP="00672D1F">
      <w:pPr>
        <w:rPr>
          <w:rStyle w:val="Standard1"/>
          <w:rFonts w:ascii="Open Sans" w:hAnsi="Open Sans" w:cs="Open Sans"/>
          <w:b/>
          <w:lang w:eastAsia="fr-FR"/>
        </w:rPr>
      </w:pPr>
      <w:r w:rsidRPr="00F92506">
        <w:rPr>
          <w:rStyle w:val="Standard1"/>
          <w:rFonts w:ascii="Open Sans" w:hAnsi="Open Sans" w:cs="Open Sans"/>
          <w:b/>
          <w:lang w:eastAsia="fr-FR"/>
        </w:rPr>
        <w:t xml:space="preserve">It would be help the review process if you could kindly provide the information in formats that allow copying text, figures and tables to be included into the review report. </w:t>
      </w:r>
    </w:p>
    <w:sectPr w:rsidR="00F92506" w:rsidRPr="00EE3356" w:rsidSect="00950A63">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BE2A" w14:textId="77777777" w:rsidR="00F2080D" w:rsidRDefault="00F2080D" w:rsidP="00AA6F34">
      <w:pPr>
        <w:spacing w:before="0" w:line="240" w:lineRule="auto"/>
        <w:rPr>
          <w:rFonts w:cs="Times New Roman"/>
        </w:rPr>
      </w:pPr>
      <w:r>
        <w:rPr>
          <w:rFonts w:cs="Times New Roman"/>
        </w:rPr>
        <w:separator/>
      </w:r>
    </w:p>
  </w:endnote>
  <w:endnote w:type="continuationSeparator" w:id="0">
    <w:p w14:paraId="7D089676" w14:textId="77777777" w:rsidR="00F2080D" w:rsidRDefault="00F2080D"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3"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24E39557"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711CF">
            <w:rPr>
              <w:noProof/>
              <w:color w:val="4196C6"/>
              <w:sz w:val="18"/>
              <w:szCs w:val="18"/>
              <w:lang w:val="en-US"/>
            </w:rPr>
            <w:t>2</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3365" w14:textId="77777777" w:rsidR="00F2080D" w:rsidRDefault="00F2080D" w:rsidP="00AA6F34">
      <w:pPr>
        <w:spacing w:before="0" w:line="240" w:lineRule="auto"/>
        <w:rPr>
          <w:rFonts w:cs="Times New Roman"/>
        </w:rPr>
      </w:pPr>
      <w:r>
        <w:rPr>
          <w:rFonts w:cs="Times New Roman"/>
        </w:rPr>
        <w:separator/>
      </w:r>
    </w:p>
  </w:footnote>
  <w:footnote w:type="continuationSeparator" w:id="0">
    <w:p w14:paraId="4FE7993A" w14:textId="77777777" w:rsidR="00F2080D" w:rsidRDefault="00F2080D" w:rsidP="00AA6F34">
      <w:pPr>
        <w:spacing w:before="0" w:line="240" w:lineRule="auto"/>
        <w:rPr>
          <w:rFonts w:cs="Times New Roman"/>
        </w:rPr>
      </w:pPr>
      <w:r>
        <w:rPr>
          <w:rFonts w:cs="Times New Roman"/>
        </w:rPr>
        <w:continuationSeparator/>
      </w:r>
    </w:p>
  </w:footnote>
  <w:footnote w:type="continuationNotice" w:id="1">
    <w:p w14:paraId="02BE512B" w14:textId="77777777" w:rsidR="00F2080D" w:rsidRDefault="00F2080D">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76BE0C6A" w14:textId="5AF216A9" w:rsidR="000630EA" w:rsidRPr="000630EA" w:rsidRDefault="00672D1F">
      <w:pPr>
        <w:pStyle w:val="FootnoteText"/>
        <w:rPr>
          <w:lang w:val="fr-FR"/>
        </w:rPr>
      </w:pPr>
      <w:r>
        <w:rPr>
          <w:rStyle w:val="FootnoteReference"/>
        </w:rPr>
        <w:footnoteRef/>
      </w:r>
      <w:r w:rsidRPr="00BA495E">
        <w:rPr>
          <w:lang w:val="fr-FR"/>
        </w:rPr>
        <w:t xml:space="preserve"> Exemption </w:t>
      </w:r>
      <w:proofErr w:type="spellStart"/>
      <w:r w:rsidRPr="00BA495E">
        <w:rPr>
          <w:lang w:val="fr-FR"/>
        </w:rPr>
        <w:t>request</w:t>
      </w:r>
      <w:proofErr w:type="spellEnd"/>
      <w:r w:rsidRPr="00BA495E">
        <w:rPr>
          <w:lang w:val="fr-FR"/>
        </w:rPr>
        <w:t xml:space="preserve"> </w:t>
      </w:r>
      <w:proofErr w:type="spellStart"/>
      <w:r w:rsidRPr="00BA495E">
        <w:rPr>
          <w:lang w:val="fr-FR"/>
        </w:rPr>
        <w:t>available</w:t>
      </w:r>
      <w:proofErr w:type="spellEnd"/>
      <w:r w:rsidRPr="00BA495E">
        <w:rPr>
          <w:lang w:val="fr-FR"/>
        </w:rPr>
        <w:t xml:space="preserve"> at </w:t>
      </w:r>
      <w:r w:rsidR="00B265B8">
        <w:fldChar w:fldCharType="begin"/>
      </w:r>
      <w:r w:rsidR="00B265B8" w:rsidRPr="00B265B8">
        <w:rPr>
          <w:lang w:val="fr-FR"/>
        </w:rPr>
        <w:instrText xml:space="preserve"> HYPERLINK "http://www.rohs.biois.eu/15_15(a)_Exemption%20Request%20_16012020_final.pdf" </w:instrText>
      </w:r>
      <w:r w:rsidR="00B265B8">
        <w:fldChar w:fldCharType="separate"/>
      </w:r>
      <w:r w:rsidR="000630EA" w:rsidRPr="00EE3A34">
        <w:rPr>
          <w:rStyle w:val="Hyperlink"/>
          <w:lang w:val="fr-FR"/>
        </w:rPr>
        <w:t>http://www.rohs.biois.eu/15_15(a)_Exemption%20Request%20_16012020_final.pdf</w:t>
      </w:r>
      <w:r w:rsidR="00B265B8">
        <w:rPr>
          <w:rStyle w:val="Hyperlink"/>
          <w:lang w:val="fr-FR"/>
        </w:rPr>
        <w:fldChar w:fldCharType="end"/>
      </w:r>
    </w:p>
  </w:footnote>
  <w:footnote w:id="4">
    <w:p w14:paraId="09F820A7" w14:textId="77777777" w:rsidR="000630EA" w:rsidRDefault="00672D1F">
      <w:pPr>
        <w:pStyle w:val="FootnoteText"/>
        <w:rPr>
          <w:lang w:val="fr-FR"/>
        </w:rPr>
      </w:pPr>
      <w:r>
        <w:rPr>
          <w:rStyle w:val="FootnoteReference"/>
        </w:rPr>
        <w:footnoteRef/>
      </w:r>
      <w:r w:rsidRPr="00BA495E">
        <w:rPr>
          <w:lang w:val="fr-FR"/>
        </w:rPr>
        <w:t xml:space="preserve"> Clarification questionnaire </w:t>
      </w:r>
      <w:proofErr w:type="spellStart"/>
      <w:r w:rsidRPr="00BA495E">
        <w:rPr>
          <w:lang w:val="fr-FR"/>
        </w:rPr>
        <w:t>available</w:t>
      </w:r>
      <w:proofErr w:type="spellEnd"/>
      <w:r w:rsidRPr="00BA495E">
        <w:rPr>
          <w:lang w:val="fr-FR"/>
        </w:rPr>
        <w:t xml:space="preserve"> at</w:t>
      </w:r>
      <w:r w:rsidR="000630EA">
        <w:rPr>
          <w:lang w:val="fr-FR"/>
        </w:rPr>
        <w:t> :</w:t>
      </w:r>
    </w:p>
    <w:p w14:paraId="633ED006" w14:textId="473FF648" w:rsidR="000630EA" w:rsidRPr="00672D1F" w:rsidRDefault="00B265B8">
      <w:pPr>
        <w:pStyle w:val="FootnoteText"/>
        <w:rPr>
          <w:lang w:val="fr-FR"/>
        </w:rPr>
      </w:pPr>
      <w:r>
        <w:fldChar w:fldCharType="begin"/>
      </w:r>
      <w:r w:rsidRPr="00B265B8">
        <w:rPr>
          <w:lang w:val="fr-FR"/>
        </w:rPr>
        <w:instrText xml:space="preserve"> HYPERLINK "http://www.rohs.biois.eu/Ex_15-II_TI_Questionnaire-1_Clarification_Response.pdf" </w:instrText>
      </w:r>
      <w:r>
        <w:fldChar w:fldCharType="separate"/>
      </w:r>
      <w:r w:rsidR="000630EA" w:rsidRPr="00EE3A34">
        <w:rPr>
          <w:rStyle w:val="Hyperlink"/>
          <w:lang w:val="fr-FR"/>
        </w:rPr>
        <w:t>http://www.rohs.biois.eu/Ex_15-II_TI_Questionnaire-1_Clarification_Response.pdf</w:t>
      </w:r>
      <w:r>
        <w:rPr>
          <w:rStyle w:val="Hyperlink"/>
          <w:lang w:val="fr-FR"/>
        </w:rPr>
        <w:fldChar w:fldCharType="end"/>
      </w:r>
    </w:p>
  </w:footnote>
  <w:footnote w:id="5">
    <w:p w14:paraId="35E92D7C" w14:textId="77777777" w:rsidR="004438B8" w:rsidRPr="00D05732" w:rsidRDefault="004438B8" w:rsidP="004438B8">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r w:rsidR="00B265B8">
        <w:fldChar w:fldCharType="begin"/>
      </w:r>
      <w:r w:rsidR="00B265B8" w:rsidRPr="00B265B8">
        <w:rPr>
          <w:lang w:val="fr-FR"/>
        </w:rPr>
        <w:instrText xml:space="preserve"> HYPERLINK "http://eur-lex.europa.eu/LexUriServ/LexUriServ.do?uri=CELEX:32011L0065:EN:NOT" </w:instrText>
      </w:r>
      <w:r w:rsidR="00B265B8">
        <w:fldChar w:fldCharType="separate"/>
      </w:r>
      <w:r w:rsidRPr="00BA495E">
        <w:rPr>
          <w:rStyle w:val="Hyperlink"/>
          <w:lang w:val="fr-FR"/>
        </w:rPr>
        <w:t>http://eur-lex.europa.eu/LexUriServ/LexUriServ.do?uri=CELEX:32011L0065:EN:NOT</w:t>
      </w:r>
      <w:r w:rsidR="00B265B8">
        <w:rPr>
          <w:rStyle w:val="Hyperlink"/>
          <w:lang w:val="fr-FR"/>
        </w:rPr>
        <w:fldChar w:fldCharType="end"/>
      </w:r>
      <w:r w:rsidRPr="00BA495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66EE59F4"/>
    <w:lvl w:ilvl="0">
      <w:start w:val="1"/>
      <w:numFmt w:val="decimal"/>
      <w:lvlText w:val="%1. "/>
      <w:lvlJc w:val="left"/>
      <w:pPr>
        <w:tabs>
          <w:tab w:val="num" w:pos="357"/>
        </w:tabs>
        <w:ind w:left="357" w:hanging="357"/>
      </w:pPr>
      <w:rPr>
        <w:rFonts w:hint="default"/>
      </w:rPr>
    </w:lvl>
    <w:lvl w:ilvl="1">
      <w:start w:val="1"/>
      <w:numFmt w:val="decimal"/>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907"/>
        </w:tabs>
        <w:ind w:left="907" w:hanging="907"/>
      </w:pPr>
      <w:rPr>
        <w:rFonts w:hint="default"/>
        <w:color w:val="00AB4D"/>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15:restartNumberingAfterBreak="0">
    <w:nsid w:val="7E4B4C46"/>
    <w:multiLevelType w:val="multilevel"/>
    <w:tmpl w:val="0E94A3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9"/>
  </w:num>
  <w:num w:numId="18">
    <w:abstractNumId w:val="11"/>
  </w:num>
  <w:num w:numId="19">
    <w:abstractNumId w:val="26"/>
  </w:num>
  <w:num w:numId="20">
    <w:abstractNumId w:val="0"/>
  </w:num>
  <w:num w:numId="21">
    <w:abstractNumId w:val="5"/>
  </w:num>
  <w:num w:numId="22">
    <w:abstractNumId w:val="15"/>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6"/>
  </w:num>
  <w:num w:numId="31">
    <w:abstractNumId w:val="13"/>
  </w:num>
  <w:num w:numId="32">
    <w:abstractNumId w:val="28"/>
  </w:num>
  <w:num w:numId="33">
    <w:abstractNumId w:val="31"/>
  </w:num>
  <w:num w:numId="34">
    <w:abstractNumId w:val="24"/>
  </w:num>
  <w:num w:numId="35">
    <w:abstractNumId w:val="18"/>
  </w:num>
  <w:num w:numId="36">
    <w:abstractNumId w:val="2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0EA"/>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1CB1"/>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290"/>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4A5E"/>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6F95"/>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77B01"/>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0D5"/>
    <w:rsid w:val="00443884"/>
    <w:rsid w:val="004438B8"/>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9EE"/>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11CF"/>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A66"/>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BF1"/>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65B8"/>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D07"/>
    <w:rsid w:val="00B95FB2"/>
    <w:rsid w:val="00B96007"/>
    <w:rsid w:val="00B9623F"/>
    <w:rsid w:val="00B978C4"/>
    <w:rsid w:val="00B97C48"/>
    <w:rsid w:val="00BA03F0"/>
    <w:rsid w:val="00BA1B0F"/>
    <w:rsid w:val="00BA1C66"/>
    <w:rsid w:val="00BA1EF7"/>
    <w:rsid w:val="00BA207F"/>
    <w:rsid w:val="00BA20EC"/>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830"/>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0BE"/>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080D"/>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506"/>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DC2830"/>
    <w:pPr>
      <w:keepNext/>
      <w:keepLines/>
      <w:numPr>
        <w:numId w:val="37"/>
      </w:numPr>
      <w:spacing w:before="240" w:after="240" w:line="240" w:lineRule="auto"/>
      <w:jc w:val="left"/>
      <w:outlineLvl w:val="0"/>
    </w:pPr>
    <w:rPr>
      <w:rFonts w:eastAsia="Times" w:cs="Open Sans"/>
      <w:b/>
      <w:bCs/>
      <w:color w:val="469FDD"/>
      <w:kern w:val="32"/>
      <w:sz w:val="24"/>
      <w:szCs w:val="24"/>
      <w:lang w:val="en-US"/>
    </w:rPr>
  </w:style>
  <w:style w:type="paragraph" w:styleId="Heading2">
    <w:name w:val="heading 2"/>
    <w:aliases w:val="NEA2,2"/>
    <w:basedOn w:val="Normal"/>
    <w:next w:val="Normal"/>
    <w:link w:val="Heading2Char"/>
    <w:uiPriority w:val="99"/>
    <w:qFormat/>
    <w:rsid w:val="004438B8"/>
    <w:pPr>
      <w:keepNext/>
      <w:numPr>
        <w:ilvl w:val="1"/>
        <w:numId w:val="37"/>
      </w:numPr>
      <w:spacing w:before="480" w:after="240"/>
      <w:ind w:left="578" w:hanging="578"/>
      <w:outlineLvl w:val="1"/>
    </w:pPr>
    <w:rPr>
      <w:rFonts w:cs="Open Sans"/>
      <w:b/>
      <w:bCs/>
      <w:color w:val="469FDD"/>
      <w:sz w:val="22"/>
      <w:lang w:val="en-US"/>
    </w:rPr>
  </w:style>
  <w:style w:type="paragraph" w:styleId="Heading3">
    <w:name w:val="heading 3"/>
    <w:aliases w:val="Car Car,Car,NEA3,H3,0 Car"/>
    <w:basedOn w:val="Normal"/>
    <w:next w:val="Normal"/>
    <w:link w:val="Heading3Char"/>
    <w:uiPriority w:val="99"/>
    <w:qFormat/>
    <w:rsid w:val="00AA6F34"/>
    <w:pPr>
      <w:keepNext/>
      <w:numPr>
        <w:ilvl w:val="2"/>
        <w:numId w:val="37"/>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numPr>
        <w:ilvl w:val="4"/>
        <w:numId w:val="37"/>
      </w:numPr>
      <w:tabs>
        <w:tab w:val="num" w:pos="1008"/>
      </w:tabs>
      <w:spacing w:before="240" w:after="60"/>
      <w:outlineLvl w:val="4"/>
    </w:pPr>
    <w:rPr>
      <w:b/>
      <w:bCs/>
      <w:i/>
      <w:iCs/>
      <w:sz w:val="26"/>
      <w:szCs w:val="26"/>
      <w:lang w:val="fr-FR"/>
    </w:rPr>
  </w:style>
  <w:style w:type="paragraph" w:styleId="Heading6">
    <w:name w:val="heading 6"/>
    <w:basedOn w:val="Normal"/>
    <w:next w:val="Normal"/>
    <w:link w:val="Heading6Char"/>
    <w:uiPriority w:val="99"/>
    <w:qFormat/>
    <w:rsid w:val="00AA6F34"/>
    <w:pPr>
      <w:numPr>
        <w:ilvl w:val="5"/>
        <w:numId w:val="37"/>
      </w:num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numPr>
        <w:ilvl w:val="6"/>
        <w:numId w:val="37"/>
      </w:numPr>
      <w:tabs>
        <w:tab w:val="num" w:pos="1296"/>
      </w:tabs>
      <w:spacing w:before="240" w:after="60"/>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numPr>
        <w:ilvl w:val="7"/>
        <w:numId w:val="37"/>
      </w:numPr>
      <w:tabs>
        <w:tab w:val="num" w:pos="1440"/>
      </w:tabs>
      <w:spacing w:before="240" w:after="6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numPr>
        <w:ilvl w:val="8"/>
        <w:numId w:val="37"/>
      </w:numPr>
      <w:tabs>
        <w:tab w:val="num" w:pos="1584"/>
      </w:tabs>
      <w:spacing w:before="240" w:after="60"/>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DC2830"/>
    <w:rPr>
      <w:rFonts w:ascii="Open Sans" w:eastAsia="Times" w:hAnsi="Open Sans" w:cs="Open Sans"/>
      <w:b/>
      <w:bCs/>
      <w:color w:val="469FDD"/>
      <w:kern w:val="32"/>
      <w:sz w:val="24"/>
      <w:szCs w:val="24"/>
      <w:lang w:val="en-US" w:eastAsia="fr-FR"/>
    </w:rPr>
  </w:style>
  <w:style w:type="character" w:customStyle="1" w:styleId="Heading2Char">
    <w:name w:val="Heading 2 Char"/>
    <w:aliases w:val="NEA2 Char,2 Char"/>
    <w:link w:val="Heading2"/>
    <w:uiPriority w:val="99"/>
    <w:locked/>
    <w:rsid w:val="004438B8"/>
    <w:rPr>
      <w:rFonts w:ascii="Open Sans" w:eastAsia="Times New Roman" w:hAnsi="Open Sans" w:cs="Open Sans"/>
      <w:b/>
      <w:bCs/>
      <w:color w:val="469FDD"/>
      <w:sz w:val="22"/>
      <w:szCs w:val="22"/>
      <w:lang w:val="en-US" w:eastAsia="fr-FR"/>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basedOn w:val="DefaultParagraphFont"/>
    <w:rsid w:val="00131CB1"/>
  </w:style>
  <w:style w:type="character" w:styleId="UnresolvedMention">
    <w:name w:val="Unresolved Mention"/>
    <w:basedOn w:val="DefaultParagraphFont"/>
    <w:uiPriority w:val="99"/>
    <w:semiHidden/>
    <w:unhideWhenUsed/>
    <w:rsid w:val="0006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4D02-A007-46B4-A24E-BC7E56A9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1679</Words>
  <Characters>9124</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10782</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6</cp:revision>
  <cp:lastPrinted>2020-07-22T11:37:00Z</cp:lastPrinted>
  <dcterms:created xsi:type="dcterms:W3CDTF">2021-03-08T13:03:00Z</dcterms:created>
  <dcterms:modified xsi:type="dcterms:W3CDTF">2021-04-16T18:13:00Z</dcterms:modified>
</cp:coreProperties>
</file>