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6EB90" w14:textId="345778F5" w:rsidR="00082399" w:rsidRPr="007A7353" w:rsidRDefault="00261090" w:rsidP="00672D1F">
      <w:pPr>
        <w:pStyle w:val="Titre"/>
        <w:rPr>
          <w:rFonts w:ascii="Oswald" w:hAnsi="Oswald"/>
          <w:b w:val="0"/>
          <w:bCs w:val="0"/>
          <w:color w:val="4196C6"/>
          <w:lang w:val="fr-FR"/>
        </w:rPr>
      </w:pPr>
      <w:bookmarkStart w:id="0" w:name="_Toc125278732"/>
      <w:r w:rsidRPr="007A7353">
        <w:rPr>
          <w:rFonts w:ascii="Oswald" w:hAnsi="Oswald"/>
          <w:b w:val="0"/>
          <w:bCs w:val="0"/>
          <w:color w:val="4196C6"/>
          <w:lang w:val="fr-FR"/>
        </w:rPr>
        <w:t>Consultation Questionnaire</w:t>
      </w:r>
      <w:r w:rsidR="00082399" w:rsidRPr="007A7353">
        <w:rPr>
          <w:rFonts w:ascii="Oswald" w:hAnsi="Oswald"/>
          <w:b w:val="0"/>
          <w:bCs w:val="0"/>
          <w:color w:val="4196C6"/>
          <w:lang w:val="fr-FR"/>
        </w:rPr>
        <w:t xml:space="preserve"> Exemption </w:t>
      </w:r>
      <w:r w:rsidR="007A7353">
        <w:rPr>
          <w:rFonts w:ascii="Oswald" w:hAnsi="Oswald"/>
          <w:b w:val="0"/>
          <w:bCs w:val="0"/>
          <w:color w:val="4196C6"/>
          <w:lang w:val="fr-FR"/>
        </w:rPr>
        <w:t>1</w:t>
      </w:r>
      <w:r w:rsidR="0073207B">
        <w:rPr>
          <w:rFonts w:ascii="Oswald" w:hAnsi="Oswald"/>
          <w:b w:val="0"/>
          <w:bCs w:val="0"/>
          <w:color w:val="4196C6"/>
          <w:lang w:val="fr-FR"/>
        </w:rPr>
        <w:t>(c)</w:t>
      </w:r>
      <w:r w:rsidR="00082399" w:rsidRPr="007A7353">
        <w:rPr>
          <w:rFonts w:ascii="Oswald" w:hAnsi="Oswald"/>
          <w:b w:val="0"/>
          <w:bCs w:val="0"/>
          <w:color w:val="4196C6"/>
          <w:lang w:val="fr-FR"/>
        </w:rPr>
        <w:t xml:space="preserve"> of RoHS Annex IV</w:t>
      </w:r>
    </w:p>
    <w:p w14:paraId="74EEFCAB" w14:textId="209D36C8" w:rsidR="00D64A03" w:rsidRPr="00D64A03" w:rsidRDefault="001740CF" w:rsidP="007A7353">
      <w:pPr>
        <w:pStyle w:val="Citationintense"/>
        <w:rPr>
          <w:i w:val="0"/>
        </w:rPr>
      </w:pPr>
      <w:r>
        <w:rPr>
          <w:i w:val="0"/>
        </w:rPr>
        <w:t>Current w</w:t>
      </w:r>
      <w:r w:rsidR="00D64A03" w:rsidRPr="00D64A03">
        <w:rPr>
          <w:i w:val="0"/>
        </w:rPr>
        <w:t>ording of the exemption:</w:t>
      </w:r>
    </w:p>
    <w:p w14:paraId="0564E31C" w14:textId="158A47BE" w:rsidR="007A7353" w:rsidRDefault="007A7353" w:rsidP="007A7353">
      <w:pPr>
        <w:pStyle w:val="Citationintense"/>
      </w:pPr>
      <w:r>
        <w:t>Lead, cadmium and mercury in infrared detectors</w:t>
      </w:r>
    </w:p>
    <w:p w14:paraId="69AB04C7" w14:textId="079457F8" w:rsidR="00A019C0" w:rsidRPr="009F5D18" w:rsidRDefault="001740CF" w:rsidP="009F5D18">
      <w:pPr>
        <w:pStyle w:val="Citationintense"/>
      </w:pPr>
      <w:r>
        <w:rPr>
          <w:i w:val="0"/>
        </w:rPr>
        <w:t>Expires on 21 July 2021 for equipment of cat. 8 and 9 other than in-vitro diagnostics and industrial monitoring and control instruments</w:t>
      </w:r>
    </w:p>
    <w:bookmarkEnd w:id="0"/>
    <w:p w14:paraId="60E33735" w14:textId="77777777" w:rsidR="00672D1F" w:rsidRPr="00672D1F" w:rsidRDefault="00672D1F" w:rsidP="00672D1F">
      <w:pPr>
        <w:pStyle w:val="Titre1"/>
      </w:pPr>
      <w:proofErr w:type="spellStart"/>
      <w:r w:rsidRPr="00672D1F">
        <w:t>Acronyms</w:t>
      </w:r>
      <w:proofErr w:type="spellEnd"/>
      <w:r w:rsidRPr="00672D1F">
        <w:t xml:space="preserve"> and </w:t>
      </w:r>
      <w:proofErr w:type="spellStart"/>
      <w:r w:rsidRPr="00672D1F">
        <w:t>Definitions</w:t>
      </w:r>
      <w:proofErr w:type="spellEnd"/>
    </w:p>
    <w:p w14:paraId="5BCB6A51" w14:textId="52D73013" w:rsidR="00D10F9A" w:rsidRPr="00D10F9A" w:rsidRDefault="00D10F9A" w:rsidP="00D10F9A">
      <w:pPr>
        <w:rPr>
          <w:rStyle w:val="Standard1"/>
          <w:rFonts w:ascii="Open Sans" w:hAnsi="Open Sans" w:cs="Open Sans"/>
          <w:lang w:eastAsia="fr-FR"/>
        </w:rPr>
      </w:pPr>
      <w:r w:rsidRPr="00D10F9A">
        <w:rPr>
          <w:rStyle w:val="Standard1"/>
          <w:rFonts w:ascii="Open Sans" w:hAnsi="Open Sans" w:cs="Open Sans"/>
          <w:lang w:eastAsia="fr-FR"/>
        </w:rPr>
        <w:t>FTIR</w:t>
      </w:r>
      <w:r w:rsidRPr="00D10F9A">
        <w:rPr>
          <w:rStyle w:val="Standard1"/>
          <w:rFonts w:ascii="Open Sans" w:hAnsi="Open Sans" w:cs="Open Sans"/>
          <w:lang w:eastAsia="fr-FR"/>
        </w:rPr>
        <w:tab/>
      </w:r>
      <w:r>
        <w:rPr>
          <w:rStyle w:val="Standard1"/>
          <w:rFonts w:ascii="Open Sans" w:hAnsi="Open Sans" w:cs="Open Sans"/>
          <w:lang w:eastAsia="fr-FR"/>
        </w:rPr>
        <w:tab/>
      </w:r>
      <w:r w:rsidRPr="00D10F9A">
        <w:rPr>
          <w:rStyle w:val="Standard1"/>
          <w:rFonts w:ascii="Open Sans" w:hAnsi="Open Sans" w:cs="Open Sans"/>
          <w:lang w:eastAsia="fr-FR"/>
        </w:rPr>
        <w:t>Fourier transform infra-red</w:t>
      </w:r>
    </w:p>
    <w:p w14:paraId="6B913224" w14:textId="6A7C7733" w:rsidR="00D10F9A" w:rsidRDefault="00D10F9A" w:rsidP="00D10F9A">
      <w:pPr>
        <w:rPr>
          <w:rStyle w:val="Standard1"/>
          <w:rFonts w:ascii="Open Sans" w:hAnsi="Open Sans" w:cs="Open Sans"/>
          <w:lang w:eastAsia="fr-FR"/>
        </w:rPr>
      </w:pPr>
      <w:r>
        <w:rPr>
          <w:rStyle w:val="Standard1"/>
          <w:rFonts w:ascii="Open Sans" w:hAnsi="Open Sans" w:cs="Open Sans"/>
          <w:lang w:eastAsia="fr-FR"/>
        </w:rPr>
        <w:t>HgCdTe</w:t>
      </w:r>
      <w:r>
        <w:rPr>
          <w:rStyle w:val="Standard1"/>
          <w:rFonts w:ascii="Open Sans" w:hAnsi="Open Sans" w:cs="Open Sans"/>
          <w:lang w:eastAsia="fr-FR"/>
        </w:rPr>
        <w:tab/>
        <w:t>Mercury cadmium tellurium (MCT)</w:t>
      </w:r>
    </w:p>
    <w:p w14:paraId="621300AC" w14:textId="77777777" w:rsidR="00D10F9A" w:rsidRPr="00672D1F" w:rsidRDefault="00D10F9A" w:rsidP="00D10F9A">
      <w:pPr>
        <w:rPr>
          <w:rStyle w:val="Standard1"/>
          <w:rFonts w:ascii="Open Sans" w:hAnsi="Open Sans" w:cs="Open Sans"/>
          <w:lang w:eastAsia="fr-FR"/>
        </w:rPr>
      </w:pPr>
      <w:r>
        <w:rPr>
          <w:rStyle w:val="Standard1"/>
          <w:rFonts w:ascii="Open Sans" w:hAnsi="Open Sans" w:cs="Open Sans"/>
          <w:lang w:eastAsia="fr-FR"/>
        </w:rPr>
        <w:t>JBCE</w:t>
      </w:r>
      <w:r>
        <w:rPr>
          <w:rStyle w:val="Standard1"/>
          <w:rFonts w:ascii="Open Sans" w:hAnsi="Open Sans" w:cs="Open Sans"/>
          <w:lang w:eastAsia="fr-FR"/>
        </w:rPr>
        <w:tab/>
      </w:r>
      <w:r>
        <w:rPr>
          <w:rStyle w:val="Standard1"/>
          <w:rFonts w:ascii="Open Sans" w:hAnsi="Open Sans" w:cs="Open Sans"/>
          <w:lang w:eastAsia="fr-FR"/>
        </w:rPr>
        <w:tab/>
        <w:t>Japan Business Council in Europe</w:t>
      </w:r>
    </w:p>
    <w:p w14:paraId="14FEB4C1" w14:textId="614C2287" w:rsidR="00D10F9A" w:rsidRDefault="00D10F9A" w:rsidP="00D10F9A">
      <w:pPr>
        <w:rPr>
          <w:rStyle w:val="Standard1"/>
          <w:rFonts w:ascii="Open Sans" w:hAnsi="Open Sans" w:cs="Open Sans"/>
          <w:lang w:eastAsia="fr-FR"/>
        </w:rPr>
      </w:pPr>
      <w:r>
        <w:rPr>
          <w:rStyle w:val="Standard1"/>
          <w:rFonts w:ascii="Open Sans" w:hAnsi="Open Sans" w:cs="Open Sans"/>
          <w:lang w:eastAsia="fr-FR"/>
        </w:rPr>
        <w:t>LWIR</w:t>
      </w:r>
      <w:r>
        <w:rPr>
          <w:rStyle w:val="Standard1"/>
          <w:rFonts w:ascii="Open Sans" w:hAnsi="Open Sans" w:cs="Open Sans"/>
          <w:lang w:eastAsia="fr-FR"/>
        </w:rPr>
        <w:tab/>
      </w:r>
      <w:r>
        <w:rPr>
          <w:rStyle w:val="Standard1"/>
          <w:rFonts w:ascii="Open Sans" w:hAnsi="Open Sans" w:cs="Open Sans"/>
          <w:lang w:eastAsia="fr-FR"/>
        </w:rPr>
        <w:tab/>
        <w:t>Long wavelength infrared</w:t>
      </w:r>
    </w:p>
    <w:p w14:paraId="7C8BDBB1" w14:textId="7A432D10" w:rsidR="00D10F9A" w:rsidRPr="00672D1F" w:rsidRDefault="00D10F9A" w:rsidP="00D10F9A">
      <w:pPr>
        <w:rPr>
          <w:rStyle w:val="Standard1"/>
          <w:rFonts w:ascii="Open Sans" w:hAnsi="Open Sans" w:cs="Open Sans"/>
          <w:lang w:eastAsia="fr-FR"/>
        </w:rPr>
      </w:pPr>
      <w:r>
        <w:rPr>
          <w:rStyle w:val="Standard1"/>
          <w:rFonts w:ascii="Open Sans" w:hAnsi="Open Sans" w:cs="Open Sans"/>
          <w:lang w:eastAsia="fr-FR"/>
        </w:rPr>
        <w:t>MCT</w:t>
      </w:r>
      <w:r w:rsidRPr="00672D1F">
        <w:rPr>
          <w:rStyle w:val="Standard1"/>
          <w:rFonts w:ascii="Open Sans" w:hAnsi="Open Sans" w:cs="Open Sans"/>
          <w:lang w:eastAsia="fr-FR"/>
        </w:rPr>
        <w:tab/>
      </w:r>
      <w:r>
        <w:rPr>
          <w:rStyle w:val="Standard1"/>
          <w:rFonts w:ascii="Open Sans" w:hAnsi="Open Sans" w:cs="Open Sans"/>
          <w:lang w:eastAsia="fr-FR"/>
        </w:rPr>
        <w:tab/>
        <w:t>Mercury cadmium tellurium</w:t>
      </w:r>
    </w:p>
    <w:p w14:paraId="1B8DF0B9" w14:textId="73F10DA1" w:rsidR="00D10F9A" w:rsidRDefault="00D10F9A" w:rsidP="00D10F9A">
      <w:pPr>
        <w:rPr>
          <w:rStyle w:val="Standard1"/>
          <w:rFonts w:ascii="Open Sans" w:hAnsi="Open Sans" w:cs="Open Sans"/>
          <w:lang w:eastAsia="fr-FR"/>
        </w:rPr>
      </w:pPr>
      <w:r>
        <w:rPr>
          <w:rStyle w:val="Standard1"/>
          <w:rFonts w:ascii="Open Sans" w:hAnsi="Open Sans" w:cs="Open Sans"/>
          <w:lang w:eastAsia="fr-FR"/>
        </w:rPr>
        <w:t>MWIR</w:t>
      </w:r>
      <w:r w:rsidRPr="00672D1F">
        <w:rPr>
          <w:rStyle w:val="Standard1"/>
          <w:rFonts w:ascii="Open Sans" w:hAnsi="Open Sans" w:cs="Open Sans"/>
          <w:lang w:eastAsia="fr-FR"/>
        </w:rPr>
        <w:tab/>
      </w:r>
      <w:r>
        <w:rPr>
          <w:rStyle w:val="Standard1"/>
          <w:rFonts w:ascii="Open Sans" w:hAnsi="Open Sans" w:cs="Open Sans"/>
          <w:lang w:eastAsia="fr-FR"/>
        </w:rPr>
        <w:tab/>
        <w:t>Medium wavelength infrared</w:t>
      </w:r>
    </w:p>
    <w:p w14:paraId="3C3D7608" w14:textId="77777777" w:rsidR="00D10F9A" w:rsidRDefault="00D10F9A" w:rsidP="00D10F9A">
      <w:pPr>
        <w:rPr>
          <w:rStyle w:val="Standard1"/>
          <w:rFonts w:ascii="Open Sans" w:hAnsi="Open Sans" w:cs="Open Sans"/>
          <w:lang w:eastAsia="fr-FR"/>
        </w:rPr>
      </w:pPr>
      <w:proofErr w:type="spellStart"/>
      <w:r>
        <w:rPr>
          <w:rStyle w:val="Standard1"/>
          <w:rFonts w:ascii="Open Sans" w:hAnsi="Open Sans" w:cs="Open Sans"/>
          <w:lang w:eastAsia="fr-FR"/>
        </w:rPr>
        <w:t>PbSe</w:t>
      </w:r>
      <w:proofErr w:type="spellEnd"/>
      <w:r>
        <w:rPr>
          <w:rStyle w:val="Standard1"/>
          <w:rFonts w:ascii="Open Sans" w:hAnsi="Open Sans" w:cs="Open Sans"/>
          <w:lang w:eastAsia="fr-FR"/>
        </w:rPr>
        <w:tab/>
      </w:r>
      <w:r>
        <w:rPr>
          <w:rStyle w:val="Standard1"/>
          <w:rFonts w:ascii="Open Sans" w:hAnsi="Open Sans" w:cs="Open Sans"/>
          <w:lang w:eastAsia="fr-FR"/>
        </w:rPr>
        <w:tab/>
        <w:t>Lead selenide</w:t>
      </w:r>
    </w:p>
    <w:p w14:paraId="1CE5DA90" w14:textId="77777777" w:rsidR="00D10F9A" w:rsidRDefault="00D10F9A" w:rsidP="00D10F9A">
      <w:pPr>
        <w:rPr>
          <w:rStyle w:val="Standard1"/>
          <w:rFonts w:ascii="Open Sans" w:hAnsi="Open Sans" w:cs="Open Sans"/>
          <w:lang w:eastAsia="fr-FR"/>
        </w:rPr>
      </w:pPr>
      <w:proofErr w:type="spellStart"/>
      <w:r>
        <w:rPr>
          <w:rStyle w:val="Standard1"/>
          <w:rFonts w:ascii="Open Sans" w:hAnsi="Open Sans" w:cs="Open Sans"/>
          <w:lang w:eastAsia="fr-FR"/>
        </w:rPr>
        <w:t>PbS</w:t>
      </w:r>
      <w:proofErr w:type="spellEnd"/>
      <w:r>
        <w:rPr>
          <w:rStyle w:val="Standard1"/>
          <w:rFonts w:ascii="Open Sans" w:hAnsi="Open Sans" w:cs="Open Sans"/>
          <w:lang w:eastAsia="fr-FR"/>
        </w:rPr>
        <w:tab/>
      </w:r>
      <w:r>
        <w:rPr>
          <w:rStyle w:val="Standard1"/>
          <w:rFonts w:ascii="Open Sans" w:hAnsi="Open Sans" w:cs="Open Sans"/>
          <w:lang w:eastAsia="fr-FR"/>
        </w:rPr>
        <w:tab/>
        <w:t>Lead sulphide</w:t>
      </w:r>
    </w:p>
    <w:p w14:paraId="002C12E3" w14:textId="6A85C963" w:rsidR="00D10F9A" w:rsidRPr="00D10F9A" w:rsidRDefault="00D10F9A" w:rsidP="00D10F9A">
      <w:pPr>
        <w:rPr>
          <w:rStyle w:val="Standard1"/>
          <w:rFonts w:ascii="Open Sans" w:hAnsi="Open Sans" w:cs="Open Sans"/>
          <w:lang w:eastAsia="fr-FR"/>
        </w:rPr>
      </w:pPr>
      <w:r w:rsidRPr="00D10F9A">
        <w:rPr>
          <w:rStyle w:val="Standard1"/>
          <w:rFonts w:ascii="Open Sans" w:hAnsi="Open Sans" w:cs="Open Sans"/>
          <w:lang w:eastAsia="fr-FR"/>
        </w:rPr>
        <w:t>PPTF</w:t>
      </w:r>
      <w:r w:rsidRPr="00D10F9A">
        <w:rPr>
          <w:rStyle w:val="Standard1"/>
          <w:rFonts w:ascii="Open Sans" w:hAnsi="Open Sans" w:cs="Open Sans"/>
          <w:lang w:eastAsia="fr-FR"/>
        </w:rPr>
        <w:tab/>
      </w:r>
      <w:r>
        <w:rPr>
          <w:rStyle w:val="Standard1"/>
          <w:rFonts w:ascii="Open Sans" w:hAnsi="Open Sans" w:cs="Open Sans"/>
          <w:lang w:eastAsia="fr-FR"/>
        </w:rPr>
        <w:tab/>
      </w:r>
      <w:r w:rsidRPr="00D10F9A">
        <w:rPr>
          <w:rStyle w:val="Standard1"/>
          <w:rFonts w:ascii="Open Sans" w:hAnsi="Open Sans" w:cs="Open Sans"/>
          <w:lang w:eastAsia="fr-FR"/>
        </w:rPr>
        <w:t>Polish Technological Platform on Photonics</w:t>
      </w:r>
    </w:p>
    <w:p w14:paraId="38FE8EFE" w14:textId="395EAD53" w:rsidR="00D10F9A" w:rsidRPr="00D10F9A" w:rsidRDefault="00D10F9A" w:rsidP="00D10F9A">
      <w:pPr>
        <w:rPr>
          <w:rStyle w:val="Standard1"/>
          <w:rFonts w:ascii="Open Sans" w:hAnsi="Open Sans" w:cs="Open Sans"/>
          <w:lang w:eastAsia="fr-FR"/>
        </w:rPr>
      </w:pPr>
      <w:r w:rsidRPr="00D10F9A">
        <w:rPr>
          <w:rStyle w:val="Standard1"/>
          <w:rFonts w:ascii="Open Sans" w:hAnsi="Open Sans" w:cs="Open Sans"/>
          <w:lang w:eastAsia="fr-FR"/>
        </w:rPr>
        <w:t>PZT</w:t>
      </w:r>
      <w:r w:rsidRPr="00D10F9A">
        <w:rPr>
          <w:rStyle w:val="Standard1"/>
          <w:rFonts w:ascii="Open Sans" w:hAnsi="Open Sans" w:cs="Open Sans"/>
          <w:lang w:eastAsia="fr-FR"/>
        </w:rPr>
        <w:tab/>
      </w:r>
      <w:r w:rsidRPr="00D10F9A">
        <w:rPr>
          <w:rStyle w:val="Standard1"/>
          <w:rFonts w:ascii="Open Sans" w:hAnsi="Open Sans" w:cs="Open Sans"/>
          <w:lang w:eastAsia="fr-FR"/>
        </w:rPr>
        <w:tab/>
        <w:t>Lead zirconate titanate</w:t>
      </w:r>
    </w:p>
    <w:p w14:paraId="18C08775" w14:textId="77777777" w:rsidR="00D10F9A" w:rsidRPr="00D10F9A" w:rsidRDefault="00D10F9A" w:rsidP="00D10F9A">
      <w:pPr>
        <w:rPr>
          <w:rStyle w:val="Standard1"/>
          <w:rFonts w:ascii="Open Sans" w:hAnsi="Open Sans" w:cs="Open Sans"/>
          <w:lang w:eastAsia="fr-FR"/>
        </w:rPr>
      </w:pPr>
      <w:r w:rsidRPr="00D10F9A">
        <w:rPr>
          <w:rStyle w:val="Standard1"/>
          <w:rFonts w:ascii="Open Sans" w:hAnsi="Open Sans" w:cs="Open Sans"/>
          <w:lang w:eastAsia="fr-FR"/>
        </w:rPr>
        <w:t>IR</w:t>
      </w:r>
      <w:r w:rsidRPr="00D10F9A">
        <w:rPr>
          <w:rStyle w:val="Standard1"/>
          <w:rFonts w:ascii="Open Sans" w:hAnsi="Open Sans" w:cs="Open Sans"/>
          <w:lang w:eastAsia="fr-FR"/>
        </w:rPr>
        <w:tab/>
      </w:r>
      <w:r w:rsidRPr="00D10F9A">
        <w:rPr>
          <w:rStyle w:val="Standard1"/>
          <w:rFonts w:ascii="Open Sans" w:hAnsi="Open Sans" w:cs="Open Sans"/>
          <w:lang w:eastAsia="fr-FR"/>
        </w:rPr>
        <w:tab/>
        <w:t>Infrared</w:t>
      </w:r>
    </w:p>
    <w:p w14:paraId="3040BBE4" w14:textId="1A842A1C" w:rsidR="00D10F9A" w:rsidRDefault="00D10F9A" w:rsidP="00672D1F">
      <w:pPr>
        <w:rPr>
          <w:rStyle w:val="Standard1"/>
          <w:rFonts w:ascii="Open Sans" w:hAnsi="Open Sans" w:cs="Open Sans"/>
          <w:lang w:eastAsia="fr-FR"/>
        </w:rPr>
      </w:pPr>
      <w:r w:rsidRPr="00D10F9A">
        <w:rPr>
          <w:rStyle w:val="Standard1"/>
          <w:rFonts w:ascii="Open Sans" w:hAnsi="Open Sans" w:cs="Open Sans"/>
          <w:lang w:eastAsia="fr-FR"/>
        </w:rPr>
        <w:t>S/N</w:t>
      </w:r>
      <w:r w:rsidRPr="00D10F9A">
        <w:rPr>
          <w:rStyle w:val="Standard1"/>
          <w:rFonts w:ascii="Open Sans" w:hAnsi="Open Sans" w:cs="Open Sans"/>
          <w:lang w:eastAsia="fr-FR"/>
        </w:rPr>
        <w:tab/>
      </w:r>
      <w:r w:rsidRPr="00D10F9A">
        <w:rPr>
          <w:rStyle w:val="Standard1"/>
          <w:rFonts w:ascii="Open Sans" w:hAnsi="Open Sans" w:cs="Open Sans"/>
          <w:lang w:eastAsia="fr-FR"/>
        </w:rPr>
        <w:tab/>
        <w:t>Signal over noise</w:t>
      </w:r>
    </w:p>
    <w:p w14:paraId="4253351C" w14:textId="77777777" w:rsidR="00D10F9A" w:rsidRDefault="00D10F9A" w:rsidP="00672D1F">
      <w:pPr>
        <w:rPr>
          <w:rStyle w:val="Standard1"/>
          <w:rFonts w:ascii="Open Sans" w:hAnsi="Open Sans" w:cs="Open Sans"/>
          <w:lang w:eastAsia="fr-FR"/>
        </w:rPr>
      </w:pPr>
    </w:p>
    <w:p w14:paraId="378DEAB8" w14:textId="77777777" w:rsidR="00672D1F" w:rsidRPr="00672D1F" w:rsidRDefault="00672D1F" w:rsidP="00672D1F">
      <w:pPr>
        <w:pStyle w:val="Titre1"/>
        <w:rPr>
          <w:rStyle w:val="Standard1"/>
          <w:rFonts w:ascii="Open Sans" w:hAnsi="Open Sans" w:cs="Open Sans"/>
          <w:lang w:val="fr-FR" w:eastAsia="fr-FR"/>
        </w:rPr>
      </w:pPr>
      <w:r w:rsidRPr="00672D1F">
        <w:rPr>
          <w:rStyle w:val="Standard1"/>
          <w:rFonts w:ascii="Open Sans" w:hAnsi="Open Sans" w:cs="Open Sans"/>
          <w:lang w:val="fr-FR" w:eastAsia="fr-FR"/>
        </w:rPr>
        <w:t>Background</w:t>
      </w:r>
    </w:p>
    <w:p w14:paraId="5A72561B"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Appelnotedebasdep"/>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6F5E2BAA" w14:textId="65C844D3" w:rsidR="00672D1F" w:rsidRPr="00672D1F" w:rsidRDefault="007A7353" w:rsidP="00672D1F">
      <w:pPr>
        <w:rPr>
          <w:rStyle w:val="Standard1"/>
          <w:rFonts w:ascii="Open Sans" w:hAnsi="Open Sans" w:cs="Open Sans"/>
          <w:lang w:eastAsia="fr-FR"/>
        </w:rPr>
      </w:pPr>
      <w:r>
        <w:rPr>
          <w:rStyle w:val="Standard1"/>
          <w:rFonts w:ascii="Open Sans" w:hAnsi="Open Sans" w:cs="Open Sans"/>
          <w:lang w:eastAsia="fr-FR"/>
        </w:rPr>
        <w:t>COCIR</w:t>
      </w:r>
      <w:r w:rsidR="001740CF">
        <w:rPr>
          <w:rStyle w:val="Standard1"/>
          <w:rFonts w:ascii="Open Sans" w:hAnsi="Open Sans" w:cs="Open Sans"/>
          <w:lang w:eastAsia="fr-FR"/>
        </w:rPr>
        <w:t xml:space="preserve">, </w:t>
      </w:r>
      <w:r w:rsidR="001740CF">
        <w:rPr>
          <w:rStyle w:val="Standard1"/>
          <w:rFonts w:cs="Open Sans"/>
        </w:rPr>
        <w:t xml:space="preserve">JBCE, </w:t>
      </w:r>
      <w:r w:rsidR="00703011">
        <w:rPr>
          <w:rStyle w:val="Standard1"/>
          <w:rFonts w:cs="Open Sans"/>
        </w:rPr>
        <w:t>LASER COMPONENTS</w:t>
      </w:r>
      <w:r w:rsidR="001740CF">
        <w:rPr>
          <w:rStyle w:val="Standard1"/>
          <w:rFonts w:cs="Open Sans"/>
        </w:rPr>
        <w:t>, PerkinE</w:t>
      </w:r>
      <w:r w:rsidR="00473771">
        <w:rPr>
          <w:rStyle w:val="Standard1"/>
          <w:rFonts w:cs="Open Sans"/>
        </w:rPr>
        <w:t>lmer</w:t>
      </w:r>
      <w:r w:rsidR="001740CF">
        <w:rPr>
          <w:rStyle w:val="Standard1"/>
          <w:rFonts w:cs="Open Sans"/>
        </w:rPr>
        <w:t xml:space="preserve"> and PPTF</w:t>
      </w:r>
      <w:r w:rsidR="00703011">
        <w:rPr>
          <w:rStyle w:val="Standard1"/>
          <w:rFonts w:cs="Open Sans"/>
        </w:rPr>
        <w:t xml:space="preserve"> </w:t>
      </w:r>
      <w:r w:rsidR="00703011">
        <w:rPr>
          <w:rStyle w:val="Standard1"/>
          <w:rFonts w:ascii="Open Sans" w:hAnsi="Open Sans" w:cs="Open Sans"/>
          <w:lang w:eastAsia="fr-FR"/>
        </w:rPr>
        <w:t>have</w:t>
      </w:r>
      <w:r w:rsidR="00672D1F" w:rsidRPr="00672D1F">
        <w:rPr>
          <w:rStyle w:val="Standard1"/>
          <w:rFonts w:ascii="Open Sans" w:hAnsi="Open Sans" w:cs="Open Sans"/>
          <w:lang w:eastAsia="fr-FR"/>
        </w:rPr>
        <w:t xml:space="preserve"> submitted request</w:t>
      </w:r>
      <w:r w:rsidR="001740CF">
        <w:rPr>
          <w:rStyle w:val="Standard1"/>
          <w:rFonts w:ascii="Open Sans" w:hAnsi="Open Sans" w:cs="Open Sans"/>
          <w:lang w:eastAsia="fr-FR"/>
        </w:rPr>
        <w:t>s</w:t>
      </w:r>
      <w:r w:rsidR="00672D1F">
        <w:rPr>
          <w:rStyle w:val="Appelnotedebasdep"/>
          <w:rFonts w:cs="Open Sans"/>
        </w:rPr>
        <w:footnoteReference w:id="3"/>
      </w:r>
      <w:r w:rsidR="00672D1F" w:rsidRPr="00672D1F">
        <w:rPr>
          <w:rStyle w:val="Standard1"/>
          <w:rFonts w:ascii="Open Sans" w:hAnsi="Open Sans" w:cs="Open Sans"/>
          <w:lang w:eastAsia="fr-FR"/>
        </w:rPr>
        <w:t xml:space="preserve"> for the continuation of the above-mentioned exemption. The request</w:t>
      </w:r>
      <w:r w:rsidR="00703011">
        <w:rPr>
          <w:rStyle w:val="Standard1"/>
          <w:rFonts w:ascii="Open Sans" w:hAnsi="Open Sans" w:cs="Open Sans"/>
          <w:lang w:eastAsia="fr-FR"/>
        </w:rPr>
        <w:t>s have</w:t>
      </w:r>
      <w:r w:rsidR="00672D1F" w:rsidRPr="00672D1F">
        <w:rPr>
          <w:rStyle w:val="Standard1"/>
          <w:rFonts w:ascii="Open Sans" w:hAnsi="Open Sans" w:cs="Open Sans"/>
          <w:lang w:eastAsia="fr-FR"/>
        </w:rPr>
        <w:t xml:space="preserve"> been subject to a first completeness and plausibility check. The applicant</w:t>
      </w:r>
      <w:r w:rsidR="00703011">
        <w:rPr>
          <w:rStyle w:val="Standard1"/>
          <w:rFonts w:ascii="Open Sans" w:hAnsi="Open Sans" w:cs="Open Sans"/>
          <w:lang w:eastAsia="fr-FR"/>
        </w:rPr>
        <w:t>s</w:t>
      </w:r>
      <w:r w:rsidR="00672D1F" w:rsidRPr="00672D1F">
        <w:rPr>
          <w:rStyle w:val="Standard1"/>
          <w:rFonts w:ascii="Open Sans" w:hAnsi="Open Sans" w:cs="Open Sans"/>
          <w:lang w:eastAsia="fr-FR"/>
        </w:rPr>
        <w:t xml:space="preserve"> ha</w:t>
      </w:r>
      <w:r w:rsidR="00703011">
        <w:rPr>
          <w:rStyle w:val="Standard1"/>
          <w:rFonts w:ascii="Open Sans" w:hAnsi="Open Sans" w:cs="Open Sans"/>
          <w:lang w:eastAsia="fr-FR"/>
        </w:rPr>
        <w:t>ve</w:t>
      </w:r>
      <w:r w:rsidR="00672D1F" w:rsidRPr="00672D1F">
        <w:rPr>
          <w:rStyle w:val="Standard1"/>
          <w:rFonts w:ascii="Open Sans" w:hAnsi="Open Sans" w:cs="Open Sans"/>
          <w:lang w:eastAsia="fr-FR"/>
        </w:rPr>
        <w:t xml:space="preserve"> been re-quested to answer additional </w:t>
      </w:r>
      <w:r w:rsidR="00672D1F" w:rsidRPr="00672D1F">
        <w:rPr>
          <w:rStyle w:val="Standard1"/>
          <w:rFonts w:ascii="Open Sans" w:hAnsi="Open Sans" w:cs="Open Sans"/>
          <w:lang w:eastAsia="fr-FR"/>
        </w:rPr>
        <w:lastRenderedPageBreak/>
        <w:t>questions and to provide additional information, available on the request webpage of the stakeholder consultation.</w:t>
      </w:r>
      <w:r w:rsidR="00672D1F">
        <w:rPr>
          <w:rStyle w:val="Appelnotedebasdep"/>
          <w:rFonts w:cs="Open Sans"/>
        </w:rPr>
        <w:footnoteReference w:id="4"/>
      </w:r>
      <w:r w:rsidR="00672D1F" w:rsidRPr="00672D1F">
        <w:rPr>
          <w:rStyle w:val="Standard1"/>
          <w:rFonts w:ascii="Open Sans" w:hAnsi="Open Sans" w:cs="Open Sans"/>
          <w:lang w:eastAsia="fr-FR"/>
        </w:rPr>
        <w:t xml:space="preserve">  </w:t>
      </w:r>
    </w:p>
    <w:p w14:paraId="5A3BECC8" w14:textId="4D45CB9B" w:rsidR="00CE0004" w:rsidRDefault="00CE0004" w:rsidP="00C7154C">
      <w:pPr>
        <w:rPr>
          <w:rStyle w:val="Standard1"/>
          <w:rFonts w:ascii="Open Sans" w:hAnsi="Open Sans" w:cs="Open Sans"/>
          <w:lang w:eastAsia="fr-FR"/>
        </w:rPr>
      </w:pPr>
    </w:p>
    <w:p w14:paraId="6CD55639" w14:textId="77777777" w:rsidR="00473771" w:rsidRDefault="00473771" w:rsidP="00473771">
      <w:pPr>
        <w:rPr>
          <w:rStyle w:val="Standard1"/>
          <w:rFonts w:ascii="Open Sans" w:hAnsi="Open Sans" w:cs="Open Sans"/>
          <w:lang w:eastAsia="fr-FR"/>
        </w:rPr>
      </w:pPr>
      <w:r>
        <w:rPr>
          <w:rStyle w:val="Standard1"/>
          <w:rFonts w:ascii="Open Sans" w:hAnsi="Open Sans" w:cs="Open Sans"/>
          <w:lang w:eastAsia="fr-FR"/>
        </w:rPr>
        <w:t xml:space="preserve">SUMMARY OF THE EXEMPTION REQUEST OF </w:t>
      </w:r>
      <w:r w:rsidRPr="00876A48">
        <w:rPr>
          <w:rStyle w:val="Standard1"/>
          <w:rFonts w:ascii="Open Sans" w:hAnsi="Open Sans" w:cs="Open Sans"/>
          <w:b/>
          <w:lang w:eastAsia="fr-FR"/>
        </w:rPr>
        <w:t>JBCE</w:t>
      </w:r>
    </w:p>
    <w:p w14:paraId="4F59C3E3" w14:textId="10A3DFF1" w:rsidR="00473771" w:rsidRDefault="00473771" w:rsidP="00473771">
      <w:pPr>
        <w:rPr>
          <w:rStyle w:val="Standard1"/>
          <w:rFonts w:ascii="Open Sans" w:hAnsi="Open Sans" w:cs="Open Sans"/>
          <w:i/>
          <w:lang w:eastAsia="fr-FR"/>
        </w:rPr>
      </w:pPr>
      <w:r w:rsidRPr="00C27717">
        <w:rPr>
          <w:rStyle w:val="Standard1"/>
          <w:rFonts w:ascii="Open Sans" w:hAnsi="Open Sans" w:cs="Open Sans"/>
          <w:i/>
          <w:lang w:eastAsia="fr-FR"/>
        </w:rPr>
        <w:t>JBCE</w:t>
      </w:r>
      <w:r w:rsidRPr="00C27717">
        <w:rPr>
          <w:rStyle w:val="Standard1"/>
          <w:rFonts w:ascii="Open Sans" w:hAnsi="Open Sans" w:cs="Open Sans"/>
          <w:i/>
          <w:lang w:val="en-US" w:eastAsia="fr-FR"/>
        </w:rPr>
        <w:t xml:space="preserve"> requests </w:t>
      </w:r>
      <w:r>
        <w:rPr>
          <w:rStyle w:val="Standard1"/>
          <w:rFonts w:ascii="Open Sans" w:hAnsi="Open Sans" w:cs="Open Sans"/>
          <w:i/>
          <w:lang w:eastAsia="fr-FR"/>
        </w:rPr>
        <w:t>the renewal of the exemption in its current scope and wording:</w:t>
      </w:r>
    </w:p>
    <w:p w14:paraId="41BCCCFB" w14:textId="77777777" w:rsidR="00473771" w:rsidRPr="00473771" w:rsidRDefault="00473771" w:rsidP="00473771">
      <w:pPr>
        <w:jc w:val="center"/>
        <w:rPr>
          <w:rStyle w:val="Standard1"/>
          <w:rFonts w:ascii="Open Sans" w:hAnsi="Open Sans" w:cs="Open Sans"/>
          <w:b/>
          <w:i/>
          <w:lang w:eastAsia="fr-FR"/>
        </w:rPr>
      </w:pPr>
      <w:r w:rsidRPr="00473771">
        <w:rPr>
          <w:b/>
        </w:rPr>
        <w:t>Lead, cadmium and mercury in infrared detectors</w:t>
      </w:r>
    </w:p>
    <w:p w14:paraId="2EF63291" w14:textId="79E55939" w:rsidR="00473771" w:rsidRPr="00C27717" w:rsidRDefault="00473771" w:rsidP="00473771">
      <w:pPr>
        <w:rPr>
          <w:rStyle w:val="Standard1"/>
          <w:rFonts w:ascii="Open Sans" w:hAnsi="Open Sans" w:cs="Open Sans"/>
          <w:i/>
          <w:lang w:val="en-US" w:eastAsia="fr-FR"/>
        </w:rPr>
      </w:pPr>
      <w:r>
        <w:rPr>
          <w:rStyle w:val="Standard1"/>
          <w:rFonts w:ascii="Open Sans" w:hAnsi="Open Sans" w:cs="Open Sans"/>
          <w:i/>
          <w:lang w:val="en-US" w:eastAsia="fr-FR"/>
        </w:rPr>
        <w:t>According to JBCE, “</w:t>
      </w:r>
      <w:r w:rsidRPr="00C27717">
        <w:rPr>
          <w:rStyle w:val="Standard1"/>
          <w:rFonts w:ascii="Open Sans" w:hAnsi="Open Sans" w:cs="Open Sans"/>
          <w:i/>
          <w:lang w:val="en-US" w:eastAsia="fr-FR"/>
        </w:rPr>
        <w:t xml:space="preserve">Infrared (IR) analysis and measuring instruments provide a rapid, accurate analysis of materials to provide information on the chemical composition, surface properties and spatial distribution of substances. The technology is </w:t>
      </w:r>
      <w:proofErr w:type="spellStart"/>
      <w:r w:rsidRPr="00C27717">
        <w:rPr>
          <w:rStyle w:val="Standard1"/>
          <w:rFonts w:ascii="Open Sans" w:hAnsi="Open Sans" w:cs="Open Sans"/>
          <w:i/>
          <w:lang w:val="en-US" w:eastAsia="fr-FR"/>
        </w:rPr>
        <w:t>utilised</w:t>
      </w:r>
      <w:proofErr w:type="spellEnd"/>
      <w:r w:rsidRPr="00C27717">
        <w:rPr>
          <w:rStyle w:val="Standard1"/>
          <w:rFonts w:ascii="Open Sans" w:hAnsi="Open Sans" w:cs="Open Sans"/>
          <w:i/>
          <w:lang w:val="en-US" w:eastAsia="fr-FR"/>
        </w:rPr>
        <w:t xml:space="preserve"> by a wide variety of industry sectors, researchers and for educational purposes, examples of which are given in this exemption request. </w:t>
      </w:r>
    </w:p>
    <w:p w14:paraId="35FEB633" w14:textId="0C5A7F7A" w:rsidR="00473771" w:rsidRPr="00C27717" w:rsidRDefault="00473771" w:rsidP="00473771">
      <w:pPr>
        <w:rPr>
          <w:rFonts w:ascii="Arial" w:eastAsia="Calibri" w:hAnsi="Arial" w:cs="Arial"/>
          <w:i/>
          <w:color w:val="000000"/>
          <w:sz w:val="22"/>
          <w:lang w:val="en-US" w:eastAsia="de-DE"/>
        </w:rPr>
      </w:pPr>
      <w:r w:rsidRPr="00C27717">
        <w:rPr>
          <w:rStyle w:val="Standard1"/>
          <w:rFonts w:ascii="Open Sans" w:hAnsi="Open Sans" w:cs="Open Sans"/>
          <w:i/>
          <w:lang w:val="en-US" w:eastAsia="fr-FR"/>
        </w:rPr>
        <w:t>The choice of semiconductors intrinsically affects the infrared range detectable and usefulness of the signal produced. The current infrared detectors have features such as higher sensitivity and wider measurement wavelength ranges than their substitutes; as such substitutions are not capable to fulfil the requirements of analysis and measuring instruments.</w:t>
      </w:r>
      <w:r>
        <w:rPr>
          <w:rStyle w:val="Standard1"/>
          <w:rFonts w:ascii="Open Sans" w:hAnsi="Open Sans" w:cs="Open Sans"/>
          <w:i/>
          <w:lang w:val="en-US" w:eastAsia="fr-FR"/>
        </w:rPr>
        <w:t>”</w:t>
      </w:r>
      <w:r w:rsidRPr="00C27717">
        <w:rPr>
          <w:rFonts w:ascii="Arial" w:eastAsia="Calibri" w:hAnsi="Arial" w:cs="Arial"/>
          <w:i/>
          <w:color w:val="000000"/>
          <w:sz w:val="22"/>
          <w:lang w:val="en-US" w:eastAsia="de-DE"/>
        </w:rPr>
        <w:t xml:space="preserve"> </w:t>
      </w:r>
    </w:p>
    <w:p w14:paraId="07A0A4FD" w14:textId="77777777" w:rsidR="00473771" w:rsidRPr="00C27717" w:rsidRDefault="00473771" w:rsidP="00473771">
      <w:pPr>
        <w:rPr>
          <w:rStyle w:val="Standard1"/>
          <w:rFonts w:ascii="Open Sans" w:hAnsi="Open Sans" w:cs="Open Sans"/>
          <w:i/>
          <w:lang w:val="en-US" w:eastAsia="fr-FR"/>
        </w:rPr>
      </w:pPr>
      <w:r w:rsidRPr="00C27717">
        <w:rPr>
          <w:rStyle w:val="Standard1"/>
          <w:rFonts w:ascii="Open Sans" w:hAnsi="Open Sans" w:cs="Open Sans"/>
          <w:i/>
          <w:lang w:val="en-US" w:eastAsia="fr-FR"/>
        </w:rPr>
        <w:t>The applicant requests a renewal of this exemption for 7 years</w:t>
      </w:r>
      <w:r>
        <w:rPr>
          <w:rStyle w:val="Standard1"/>
          <w:rFonts w:ascii="Open Sans" w:hAnsi="Open Sans" w:cs="Open Sans"/>
          <w:i/>
          <w:lang w:val="en-US" w:eastAsia="fr-FR"/>
        </w:rPr>
        <w:t xml:space="preserve"> for all equipment of cat. 8 and 9</w:t>
      </w:r>
      <w:r w:rsidRPr="00C27717">
        <w:rPr>
          <w:rStyle w:val="Standard1"/>
          <w:rFonts w:ascii="Open Sans" w:hAnsi="Open Sans" w:cs="Open Sans"/>
          <w:i/>
          <w:lang w:val="en-US" w:eastAsia="fr-FR"/>
        </w:rPr>
        <w:t>.</w:t>
      </w:r>
    </w:p>
    <w:p w14:paraId="38E624F3" w14:textId="77777777" w:rsidR="00473771" w:rsidRDefault="00473771" w:rsidP="00473771">
      <w:pPr>
        <w:rPr>
          <w:rStyle w:val="Standard1"/>
          <w:rFonts w:ascii="Open Sans" w:hAnsi="Open Sans" w:cs="Open Sans"/>
          <w:lang w:eastAsia="fr-FR"/>
        </w:rPr>
      </w:pPr>
    </w:p>
    <w:p w14:paraId="1DD76C2A" w14:textId="66D6D1CF" w:rsidR="00C7154C" w:rsidRDefault="00C7154C" w:rsidP="00C7154C">
      <w:pPr>
        <w:rPr>
          <w:rStyle w:val="Standard1"/>
          <w:rFonts w:ascii="Open Sans" w:hAnsi="Open Sans" w:cs="Open Sans"/>
          <w:lang w:eastAsia="fr-FR"/>
        </w:rPr>
      </w:pPr>
      <w:r>
        <w:rPr>
          <w:rStyle w:val="Standard1"/>
          <w:rFonts w:ascii="Open Sans" w:hAnsi="Open Sans" w:cs="Open Sans"/>
          <w:lang w:eastAsia="fr-FR"/>
        </w:rPr>
        <w:t>SUMMARY OF THE EXEMPTION REQUEST</w:t>
      </w:r>
      <w:r w:rsidR="00703011">
        <w:rPr>
          <w:rStyle w:val="Standard1"/>
          <w:rFonts w:ascii="Open Sans" w:hAnsi="Open Sans" w:cs="Open Sans"/>
          <w:lang w:eastAsia="fr-FR"/>
        </w:rPr>
        <w:t xml:space="preserve"> OF </w:t>
      </w:r>
      <w:r w:rsidR="00703011" w:rsidRPr="00876A48">
        <w:rPr>
          <w:rStyle w:val="Standard1"/>
          <w:rFonts w:ascii="Open Sans" w:hAnsi="Open Sans" w:cs="Open Sans"/>
          <w:b/>
          <w:lang w:eastAsia="fr-FR"/>
        </w:rPr>
        <w:t>COCIR</w:t>
      </w:r>
      <w:r w:rsidR="00CE0004">
        <w:rPr>
          <w:rStyle w:val="Standard1"/>
          <w:rFonts w:ascii="Open Sans" w:hAnsi="Open Sans" w:cs="Open Sans"/>
          <w:lang w:eastAsia="fr-FR"/>
        </w:rPr>
        <w:t xml:space="preserve"> AND </w:t>
      </w:r>
      <w:r w:rsidR="00CE0004" w:rsidRPr="00876A48">
        <w:rPr>
          <w:rStyle w:val="Standard1"/>
          <w:rFonts w:ascii="Open Sans" w:hAnsi="Open Sans" w:cs="Open Sans"/>
          <w:b/>
          <w:lang w:eastAsia="fr-FR"/>
        </w:rPr>
        <w:t>LASER COMPONENTS</w:t>
      </w:r>
    </w:p>
    <w:p w14:paraId="348D2F85" w14:textId="28515322" w:rsidR="00E16205" w:rsidRDefault="00737BD7" w:rsidP="00672D1F">
      <w:pPr>
        <w:rPr>
          <w:rStyle w:val="Standard1"/>
          <w:rFonts w:ascii="Open Sans" w:hAnsi="Open Sans" w:cs="Open Sans"/>
          <w:i/>
          <w:lang w:eastAsia="fr-FR"/>
        </w:rPr>
      </w:pPr>
      <w:r w:rsidRPr="00C7154C">
        <w:rPr>
          <w:rStyle w:val="Standard1"/>
          <w:rFonts w:ascii="Open Sans" w:hAnsi="Open Sans" w:cs="Open Sans"/>
          <w:i/>
          <w:lang w:eastAsia="fr-FR"/>
        </w:rPr>
        <w:t xml:space="preserve">COCIR </w:t>
      </w:r>
      <w:r w:rsidR="00CE0004">
        <w:rPr>
          <w:rStyle w:val="Standard1"/>
          <w:rFonts w:ascii="Open Sans" w:hAnsi="Open Sans" w:cs="Open Sans"/>
          <w:i/>
          <w:lang w:eastAsia="fr-FR"/>
        </w:rPr>
        <w:t xml:space="preserve">and Laser Components request </w:t>
      </w:r>
      <w:r w:rsidR="00E16205">
        <w:rPr>
          <w:rStyle w:val="Standard1"/>
          <w:rFonts w:ascii="Open Sans" w:hAnsi="Open Sans" w:cs="Open Sans"/>
          <w:i/>
          <w:lang w:eastAsia="fr-FR"/>
        </w:rPr>
        <w:t>the renewal of the exemption with the following scope and wording:</w:t>
      </w:r>
    </w:p>
    <w:p w14:paraId="5AAE0403" w14:textId="09DCAEC1" w:rsidR="00E16205" w:rsidRDefault="00737BD7" w:rsidP="00672D1F">
      <w:pPr>
        <w:rPr>
          <w:rStyle w:val="Standard1"/>
          <w:rFonts w:ascii="Open Sans" w:hAnsi="Open Sans" w:cs="Open Sans"/>
          <w:i/>
          <w:lang w:eastAsia="fr-FR"/>
        </w:rPr>
      </w:pPr>
      <w:r w:rsidRPr="00C7154C">
        <w:rPr>
          <w:rStyle w:val="Standard1"/>
          <w:rFonts w:ascii="Open Sans" w:hAnsi="Open Sans" w:cs="Open Sans"/>
          <w:i/>
          <w:lang w:eastAsia="fr-FR"/>
        </w:rPr>
        <w:t>“</w:t>
      </w:r>
      <w:r w:rsidR="001740CF" w:rsidRPr="00F27DC9">
        <w:rPr>
          <w:rStyle w:val="Standard1"/>
          <w:rFonts w:ascii="Open Sans" w:hAnsi="Open Sans" w:cs="Open Sans"/>
          <w:b/>
          <w:i/>
          <w:lang w:eastAsia="fr-FR"/>
        </w:rPr>
        <w:t>L</w:t>
      </w:r>
      <w:r w:rsidRPr="00F27DC9">
        <w:rPr>
          <w:rStyle w:val="Standard1"/>
          <w:rFonts w:ascii="Open Sans" w:hAnsi="Open Sans" w:cs="Open Sans"/>
          <w:b/>
          <w:i/>
          <w:lang w:eastAsia="fr-FR"/>
        </w:rPr>
        <w:t>ead in infra-red light detectors</w:t>
      </w:r>
      <w:r w:rsidRPr="00C7154C">
        <w:rPr>
          <w:rStyle w:val="Standard1"/>
          <w:rFonts w:ascii="Open Sans" w:hAnsi="Open Sans" w:cs="Open Sans"/>
          <w:i/>
          <w:lang w:eastAsia="fr-FR"/>
        </w:rPr>
        <w:t>”</w:t>
      </w:r>
      <w:r w:rsidR="00743887" w:rsidRPr="00C7154C">
        <w:rPr>
          <w:rStyle w:val="Standard1"/>
          <w:rFonts w:ascii="Open Sans" w:hAnsi="Open Sans" w:cs="Open Sans"/>
          <w:i/>
          <w:lang w:eastAsia="fr-FR"/>
        </w:rPr>
        <w:t xml:space="preserve">. </w:t>
      </w:r>
    </w:p>
    <w:p w14:paraId="618A5D59" w14:textId="51592C63" w:rsidR="00CE0004" w:rsidRPr="00C7154C" w:rsidRDefault="00CE0004" w:rsidP="00CE0004">
      <w:pPr>
        <w:rPr>
          <w:rStyle w:val="Standard1"/>
          <w:rFonts w:ascii="Open Sans" w:hAnsi="Open Sans" w:cs="Open Sans"/>
          <w:i/>
          <w:lang w:eastAsia="fr-FR"/>
        </w:rPr>
      </w:pPr>
      <w:r>
        <w:rPr>
          <w:rStyle w:val="Standard1"/>
          <w:rFonts w:ascii="Open Sans" w:hAnsi="Open Sans" w:cs="Open Sans"/>
          <w:i/>
          <w:lang w:eastAsia="fr-FR"/>
        </w:rPr>
        <w:t xml:space="preserve">Both </w:t>
      </w:r>
      <w:r w:rsidRPr="00C7154C">
        <w:rPr>
          <w:rStyle w:val="Standard1"/>
          <w:rFonts w:ascii="Open Sans" w:hAnsi="Open Sans" w:cs="Open Sans"/>
          <w:i/>
          <w:lang w:eastAsia="fr-FR"/>
        </w:rPr>
        <w:t>applicant</w:t>
      </w:r>
      <w:r>
        <w:rPr>
          <w:rStyle w:val="Standard1"/>
          <w:rFonts w:ascii="Open Sans" w:hAnsi="Open Sans" w:cs="Open Sans"/>
          <w:i/>
          <w:lang w:eastAsia="fr-FR"/>
        </w:rPr>
        <w:t>s request</w:t>
      </w:r>
      <w:r w:rsidRPr="00C7154C">
        <w:rPr>
          <w:rStyle w:val="Standard1"/>
          <w:rFonts w:ascii="Open Sans" w:hAnsi="Open Sans" w:cs="Open Sans"/>
          <w:i/>
          <w:lang w:eastAsia="fr-FR"/>
        </w:rPr>
        <w:t xml:space="preserve"> a renewal </w:t>
      </w:r>
      <w:r>
        <w:rPr>
          <w:rStyle w:val="Standard1"/>
          <w:rFonts w:ascii="Open Sans" w:hAnsi="Open Sans" w:cs="Open Sans"/>
          <w:i/>
          <w:lang w:eastAsia="fr-FR"/>
        </w:rPr>
        <w:t xml:space="preserve">period </w:t>
      </w:r>
      <w:r w:rsidRPr="00C7154C">
        <w:rPr>
          <w:rStyle w:val="Standard1"/>
          <w:rFonts w:ascii="Open Sans" w:hAnsi="Open Sans" w:cs="Open Sans"/>
          <w:i/>
          <w:lang w:eastAsia="fr-FR"/>
        </w:rPr>
        <w:t>of 7 years.</w:t>
      </w:r>
    </w:p>
    <w:p w14:paraId="28AEDD27" w14:textId="59B8C865" w:rsidR="00743887" w:rsidRPr="00C7154C" w:rsidRDefault="00CE0004" w:rsidP="00672D1F">
      <w:pPr>
        <w:rPr>
          <w:rStyle w:val="Standard1"/>
          <w:rFonts w:ascii="Open Sans" w:hAnsi="Open Sans" w:cs="Open Sans"/>
          <w:i/>
          <w:lang w:eastAsia="fr-FR"/>
        </w:rPr>
      </w:pPr>
      <w:r>
        <w:rPr>
          <w:rStyle w:val="Standard1"/>
          <w:rFonts w:ascii="Open Sans" w:hAnsi="Open Sans" w:cs="Open Sans"/>
          <w:i/>
          <w:lang w:eastAsia="fr-FR"/>
        </w:rPr>
        <w:t xml:space="preserve">According to COCIR, </w:t>
      </w:r>
      <w:r w:rsidR="00473771">
        <w:rPr>
          <w:rStyle w:val="Standard1"/>
          <w:rFonts w:ascii="Open Sans" w:hAnsi="Open Sans" w:cs="Open Sans"/>
          <w:i/>
          <w:lang w:eastAsia="fr-FR"/>
        </w:rPr>
        <w:t>“</w:t>
      </w:r>
      <w:proofErr w:type="spellStart"/>
      <w:r w:rsidR="00743887" w:rsidRPr="00C7154C">
        <w:rPr>
          <w:rStyle w:val="Standard1"/>
          <w:rFonts w:ascii="Open Sans" w:hAnsi="Open Sans" w:cs="Open Sans"/>
          <w:i/>
          <w:lang w:eastAsia="fr-FR"/>
        </w:rPr>
        <w:t>PbSe</w:t>
      </w:r>
      <w:proofErr w:type="spellEnd"/>
      <w:r w:rsidR="00743887" w:rsidRPr="00C7154C">
        <w:rPr>
          <w:rStyle w:val="Standard1"/>
          <w:rFonts w:ascii="Open Sans" w:hAnsi="Open Sans" w:cs="Open Sans"/>
          <w:i/>
          <w:lang w:eastAsia="fr-FR"/>
        </w:rPr>
        <w:t xml:space="preserve"> infrared detectors are used in medical devices called capnometers, which are used to monitor the breathing of patients in EU hospitals and clinics. </w:t>
      </w:r>
      <w:proofErr w:type="spellStart"/>
      <w:r w:rsidR="00743887" w:rsidRPr="00C7154C">
        <w:rPr>
          <w:rStyle w:val="Standard1"/>
          <w:rFonts w:ascii="Open Sans" w:hAnsi="Open Sans" w:cs="Open Sans"/>
          <w:i/>
          <w:lang w:eastAsia="fr-FR"/>
        </w:rPr>
        <w:t>PbSe</w:t>
      </w:r>
      <w:proofErr w:type="spellEnd"/>
      <w:r w:rsidR="00743887" w:rsidRPr="00C7154C">
        <w:rPr>
          <w:rStyle w:val="Standard1"/>
          <w:rFonts w:ascii="Open Sans" w:hAnsi="Open Sans" w:cs="Open Sans"/>
          <w:i/>
          <w:lang w:eastAsia="fr-FR"/>
        </w:rPr>
        <w:t xml:space="preserve"> is the only detector material that meets all of the essential criteria and is able to detect small changes in breathing using a capnometer that can be indicative of health conditions as well as difficulties with breathing. All potential substitutes either do not adequately respond to changes in CO</w:t>
      </w:r>
      <w:r w:rsidR="00743887" w:rsidRPr="00C7154C">
        <w:rPr>
          <w:rStyle w:val="Standard1"/>
          <w:rFonts w:ascii="Open Sans" w:hAnsi="Open Sans" w:cs="Open Sans"/>
          <w:i/>
          <w:vertAlign w:val="subscript"/>
          <w:lang w:eastAsia="fr-FR"/>
        </w:rPr>
        <w:t>2</w:t>
      </w:r>
      <w:r w:rsidR="00743887" w:rsidRPr="00C7154C">
        <w:rPr>
          <w:rStyle w:val="Standard1"/>
          <w:rFonts w:ascii="Open Sans" w:hAnsi="Open Sans" w:cs="Open Sans"/>
          <w:i/>
          <w:lang w:eastAsia="fr-FR"/>
        </w:rPr>
        <w:t xml:space="preserve"> concentrations in patients’ exhaled breath, they respond too slowly, or the detectors require cooling. Cooling requires extra bulky equipment and would cause condensation of water from exhaled air onto the detector’s surface. This will freeze and the ice crystals will block infrared light and so make the detector insensitive.</w:t>
      </w:r>
      <w:r w:rsidR="00473771">
        <w:rPr>
          <w:rStyle w:val="Standard1"/>
          <w:rFonts w:ascii="Open Sans" w:hAnsi="Open Sans" w:cs="Open Sans"/>
          <w:i/>
          <w:lang w:eastAsia="fr-FR"/>
        </w:rPr>
        <w:t>”</w:t>
      </w:r>
      <w:r w:rsidR="00743887" w:rsidRPr="00C7154C">
        <w:rPr>
          <w:rStyle w:val="Standard1"/>
          <w:rFonts w:ascii="Open Sans" w:hAnsi="Open Sans" w:cs="Open Sans"/>
          <w:i/>
          <w:lang w:eastAsia="fr-FR"/>
        </w:rPr>
        <w:t xml:space="preserve"> </w:t>
      </w:r>
    </w:p>
    <w:p w14:paraId="21BC956E" w14:textId="063BA985" w:rsidR="00CE0004" w:rsidRDefault="00CE0004" w:rsidP="00CE0004">
      <w:pPr>
        <w:rPr>
          <w:rStyle w:val="Standard1"/>
          <w:rFonts w:cs="Open Sans"/>
          <w:i/>
        </w:rPr>
      </w:pPr>
      <w:r>
        <w:rPr>
          <w:rStyle w:val="Standard1"/>
          <w:rFonts w:cs="Open Sans"/>
          <w:i/>
        </w:rPr>
        <w:t xml:space="preserve">According to Laser Components, </w:t>
      </w:r>
      <w:r w:rsidR="00473771">
        <w:rPr>
          <w:rStyle w:val="Standard1"/>
          <w:rFonts w:cs="Open Sans"/>
          <w:i/>
        </w:rPr>
        <w:t>“</w:t>
      </w:r>
      <w:proofErr w:type="spellStart"/>
      <w:r>
        <w:rPr>
          <w:rStyle w:val="Standard1"/>
          <w:rFonts w:cs="Open Sans"/>
          <w:i/>
        </w:rPr>
        <w:t>PbSe</w:t>
      </w:r>
      <w:proofErr w:type="spellEnd"/>
      <w:r>
        <w:rPr>
          <w:rStyle w:val="Standard1"/>
          <w:rFonts w:cs="Open Sans"/>
          <w:i/>
        </w:rPr>
        <w:t xml:space="preserve"> and </w:t>
      </w:r>
      <w:proofErr w:type="spellStart"/>
      <w:r>
        <w:rPr>
          <w:rStyle w:val="Standard1"/>
          <w:rFonts w:cs="Open Sans"/>
          <w:i/>
        </w:rPr>
        <w:t>PbS</w:t>
      </w:r>
      <w:proofErr w:type="spellEnd"/>
      <w:r>
        <w:rPr>
          <w:rStyle w:val="Standard1"/>
          <w:rFonts w:cs="Open Sans"/>
          <w:i/>
        </w:rPr>
        <w:t xml:space="preserve"> infrared detectors have unique characteristics that enable them to be used in a wide variety of applications. They are used in near infrared analysers used by very many diverse industries, medical devices for analysis of carbon dioxide in patients’ breath and in spark detection systems. These detectors are used because of their high sensitivity in the near infrared range and can be used without cooling. Another advantage over thermal heat detectors is the very fast response times of the lead based detectors, which is essential in many applications.</w:t>
      </w:r>
      <w:r w:rsidR="00473771">
        <w:rPr>
          <w:rStyle w:val="Standard1"/>
          <w:rFonts w:cs="Open Sans"/>
          <w:i/>
        </w:rPr>
        <w:t>”</w:t>
      </w:r>
    </w:p>
    <w:p w14:paraId="36CB1E7E" w14:textId="0A239247" w:rsidR="00CE0004" w:rsidRDefault="00CE0004" w:rsidP="00703011">
      <w:pPr>
        <w:rPr>
          <w:rStyle w:val="Standard1"/>
          <w:rFonts w:ascii="Open Sans" w:hAnsi="Open Sans" w:cs="Open Sans"/>
          <w:lang w:eastAsia="fr-FR"/>
        </w:rPr>
      </w:pPr>
    </w:p>
    <w:p w14:paraId="43A5BE5B" w14:textId="77777777" w:rsidR="00E16205" w:rsidRDefault="00E16205" w:rsidP="00E16205">
      <w:pPr>
        <w:rPr>
          <w:rStyle w:val="Standard1"/>
          <w:rFonts w:ascii="Open Sans" w:hAnsi="Open Sans" w:cs="Open Sans"/>
          <w:lang w:eastAsia="fr-FR"/>
        </w:rPr>
      </w:pPr>
      <w:r>
        <w:rPr>
          <w:rStyle w:val="Standard1"/>
          <w:rFonts w:ascii="Open Sans" w:hAnsi="Open Sans" w:cs="Open Sans"/>
          <w:lang w:eastAsia="fr-FR"/>
        </w:rPr>
        <w:t xml:space="preserve">SUMMARY OF THE EXEMPTION REQUEST OF </w:t>
      </w:r>
      <w:r w:rsidRPr="00876A48">
        <w:rPr>
          <w:rStyle w:val="Standard1"/>
          <w:rFonts w:ascii="Open Sans" w:hAnsi="Open Sans" w:cs="Open Sans"/>
          <w:b/>
          <w:lang w:eastAsia="fr-FR"/>
        </w:rPr>
        <w:t>PPTF</w:t>
      </w:r>
    </w:p>
    <w:p w14:paraId="7702356C" w14:textId="57E48CD8" w:rsidR="00E16205" w:rsidRDefault="00CE0004" w:rsidP="00E16205">
      <w:pPr>
        <w:rPr>
          <w:rStyle w:val="Standard1"/>
          <w:rFonts w:ascii="Open Sans" w:hAnsi="Open Sans" w:cs="Open Sans"/>
          <w:i/>
          <w:lang w:eastAsia="fr-FR"/>
        </w:rPr>
      </w:pPr>
      <w:r>
        <w:rPr>
          <w:rStyle w:val="Standard1"/>
          <w:rFonts w:ascii="Open Sans" w:hAnsi="Open Sans" w:cs="Open Sans"/>
          <w:i/>
          <w:lang w:eastAsia="fr-FR"/>
        </w:rPr>
        <w:t xml:space="preserve">PPTF </w:t>
      </w:r>
      <w:r w:rsidR="00E16205" w:rsidRPr="00565E68">
        <w:rPr>
          <w:rStyle w:val="Standard1"/>
          <w:rFonts w:ascii="Open Sans" w:hAnsi="Open Sans" w:cs="Open Sans"/>
          <w:i/>
          <w:lang w:eastAsia="fr-FR"/>
        </w:rPr>
        <w:t>request</w:t>
      </w:r>
      <w:r>
        <w:rPr>
          <w:rStyle w:val="Standard1"/>
          <w:rFonts w:ascii="Open Sans" w:hAnsi="Open Sans" w:cs="Open Sans"/>
          <w:i/>
          <w:lang w:eastAsia="fr-FR"/>
        </w:rPr>
        <w:t>s</w:t>
      </w:r>
      <w:r w:rsidR="00E16205" w:rsidRPr="00565E68">
        <w:rPr>
          <w:rStyle w:val="Standard1"/>
          <w:rFonts w:ascii="Open Sans" w:hAnsi="Open Sans" w:cs="Open Sans"/>
          <w:i/>
          <w:lang w:eastAsia="fr-FR"/>
        </w:rPr>
        <w:t xml:space="preserve"> </w:t>
      </w:r>
      <w:r w:rsidR="00E16205">
        <w:rPr>
          <w:rStyle w:val="Standard1"/>
          <w:rFonts w:ascii="Open Sans" w:hAnsi="Open Sans" w:cs="Open Sans"/>
          <w:i/>
          <w:lang w:eastAsia="fr-FR"/>
        </w:rPr>
        <w:t>the renewal of the exemption with the following scope and wording:</w:t>
      </w:r>
    </w:p>
    <w:p w14:paraId="48AC3004" w14:textId="02D0C6C0" w:rsidR="00E16205" w:rsidRDefault="00E16205" w:rsidP="00CE0004">
      <w:pPr>
        <w:jc w:val="center"/>
        <w:rPr>
          <w:rStyle w:val="Standard1"/>
          <w:rFonts w:ascii="Open Sans" w:hAnsi="Open Sans" w:cs="Open Sans"/>
          <w:i/>
          <w:lang w:eastAsia="fr-FR"/>
        </w:rPr>
      </w:pPr>
      <w:r w:rsidRPr="00565E68">
        <w:rPr>
          <w:rStyle w:val="Standard1"/>
          <w:rFonts w:ascii="Open Sans" w:hAnsi="Open Sans" w:cs="Open Sans"/>
          <w:i/>
          <w:lang w:eastAsia="fr-FR"/>
        </w:rPr>
        <w:lastRenderedPageBreak/>
        <w:t>“</w:t>
      </w:r>
      <w:r>
        <w:rPr>
          <w:rStyle w:val="Standard1"/>
          <w:rFonts w:ascii="Open Sans" w:hAnsi="Open Sans" w:cs="Open Sans"/>
          <w:b/>
          <w:i/>
          <w:lang w:eastAsia="fr-FR"/>
        </w:rPr>
        <w:t>Cadmium and m</w:t>
      </w:r>
      <w:r w:rsidRPr="00E16205">
        <w:rPr>
          <w:rStyle w:val="Standard1"/>
          <w:rFonts w:ascii="Open Sans" w:hAnsi="Open Sans" w:cs="Open Sans"/>
          <w:b/>
          <w:i/>
          <w:lang w:eastAsia="fr-FR"/>
        </w:rPr>
        <w:t>ercury in infra-red detectors”</w:t>
      </w:r>
    </w:p>
    <w:p w14:paraId="48848419" w14:textId="395F1B88" w:rsidR="00E16205" w:rsidRPr="00565E68" w:rsidRDefault="00E16205" w:rsidP="00E16205">
      <w:pPr>
        <w:rPr>
          <w:rStyle w:val="Standard1"/>
          <w:rFonts w:ascii="Open Sans" w:hAnsi="Open Sans" w:cs="Open Sans"/>
          <w:i/>
          <w:lang w:eastAsia="fr-FR"/>
        </w:rPr>
      </w:pPr>
      <w:r>
        <w:rPr>
          <w:rStyle w:val="Standard1"/>
          <w:rFonts w:ascii="Open Sans" w:hAnsi="Open Sans" w:cs="Open Sans"/>
          <w:i/>
          <w:lang w:eastAsia="fr-FR"/>
        </w:rPr>
        <w:t>A</w:t>
      </w:r>
      <w:r w:rsidR="00CE0004">
        <w:rPr>
          <w:rStyle w:val="Standard1"/>
          <w:rFonts w:ascii="Open Sans" w:hAnsi="Open Sans" w:cs="Open Sans"/>
          <w:i/>
          <w:lang w:eastAsia="fr-FR"/>
        </w:rPr>
        <w:t>ccording to PPTF</w:t>
      </w:r>
      <w:r>
        <w:rPr>
          <w:rStyle w:val="Standard1"/>
          <w:rFonts w:ascii="Open Sans" w:hAnsi="Open Sans" w:cs="Open Sans"/>
          <w:i/>
          <w:lang w:eastAsia="fr-FR"/>
        </w:rPr>
        <w:t>, “T</w:t>
      </w:r>
      <w:r w:rsidRPr="00565E68">
        <w:rPr>
          <w:rStyle w:val="Standard1"/>
          <w:rFonts w:ascii="Open Sans" w:hAnsi="Open Sans" w:cs="Open Sans"/>
          <w:i/>
          <w:lang w:eastAsia="fr-FR"/>
        </w:rPr>
        <w:t>he variable band gap Hg</w:t>
      </w:r>
      <w:r w:rsidRPr="00565E68">
        <w:rPr>
          <w:rStyle w:val="Standard1"/>
          <w:rFonts w:ascii="Open Sans" w:hAnsi="Open Sans" w:cs="Open Sans"/>
          <w:i/>
          <w:vertAlign w:val="subscript"/>
          <w:lang w:eastAsia="fr-FR"/>
        </w:rPr>
        <w:t>1-x</w:t>
      </w:r>
      <w:r w:rsidRPr="00565E68">
        <w:rPr>
          <w:rStyle w:val="Standard1"/>
          <w:rFonts w:ascii="Open Sans" w:hAnsi="Open Sans" w:cs="Open Sans"/>
          <w:i/>
          <w:lang w:eastAsia="fr-FR"/>
        </w:rPr>
        <w:t>Cd</w:t>
      </w:r>
      <w:r w:rsidRPr="00565E68">
        <w:rPr>
          <w:rStyle w:val="Standard1"/>
          <w:rFonts w:ascii="Open Sans" w:hAnsi="Open Sans" w:cs="Open Sans"/>
          <w:i/>
          <w:vertAlign w:val="subscript"/>
          <w:lang w:eastAsia="fr-FR"/>
        </w:rPr>
        <w:t>x</w:t>
      </w:r>
      <w:r w:rsidRPr="00565E68">
        <w:rPr>
          <w:rStyle w:val="Standard1"/>
          <w:rFonts w:ascii="Open Sans" w:hAnsi="Open Sans" w:cs="Open Sans"/>
          <w:i/>
          <w:lang w:eastAsia="fr-FR"/>
        </w:rPr>
        <w:t>Te (also called in short HgCdTe or MCT) has been undeniably the champion among the large variety of material systems, offering 2x up to 100x better detectivity levels in the MWIR (3 to 8µm)  and especially LWIR (8 to 14µm) spectrum. The are possible substitutes used in less demanding measurement applications – III-V compound semiconductor detectors. However, despite many years of development there have not been yet any commercially available detectors matching MCT detectors in terms of detectivity.</w:t>
      </w:r>
      <w:r>
        <w:rPr>
          <w:rStyle w:val="Standard1"/>
          <w:rFonts w:ascii="Open Sans" w:hAnsi="Open Sans" w:cs="Open Sans"/>
          <w:i/>
          <w:lang w:eastAsia="fr-FR"/>
        </w:rPr>
        <w:t>”</w:t>
      </w:r>
    </w:p>
    <w:p w14:paraId="1ECC8129" w14:textId="48D18476" w:rsidR="00E16205" w:rsidRDefault="00E16205" w:rsidP="00E16205">
      <w:pPr>
        <w:rPr>
          <w:rStyle w:val="Standard1"/>
          <w:rFonts w:ascii="Open Sans" w:hAnsi="Open Sans" w:cs="Open Sans"/>
          <w:i/>
          <w:lang w:eastAsia="fr-FR"/>
        </w:rPr>
      </w:pPr>
      <w:r w:rsidRPr="00565E68">
        <w:rPr>
          <w:rStyle w:val="Standard1"/>
          <w:rFonts w:ascii="Open Sans" w:hAnsi="Open Sans" w:cs="Open Sans"/>
          <w:i/>
          <w:lang w:eastAsia="fr-FR"/>
        </w:rPr>
        <w:t>The applicant requests a renewal of this exemption for 7 years.</w:t>
      </w:r>
    </w:p>
    <w:p w14:paraId="28D3761D" w14:textId="77777777" w:rsidR="00E16205" w:rsidRDefault="00E16205" w:rsidP="00E16205">
      <w:pPr>
        <w:rPr>
          <w:rStyle w:val="Standard1"/>
          <w:rFonts w:ascii="Open Sans" w:hAnsi="Open Sans" w:cs="Open Sans"/>
          <w:i/>
          <w:lang w:eastAsia="fr-FR"/>
        </w:rPr>
      </w:pPr>
    </w:p>
    <w:p w14:paraId="2683BFB6" w14:textId="77777777" w:rsidR="00E16205" w:rsidRDefault="00E16205" w:rsidP="00E16205">
      <w:pPr>
        <w:rPr>
          <w:rStyle w:val="Standard1"/>
          <w:rFonts w:ascii="Open Sans" w:hAnsi="Open Sans" w:cs="Open Sans"/>
          <w:lang w:eastAsia="fr-FR"/>
        </w:rPr>
      </w:pPr>
      <w:r>
        <w:rPr>
          <w:rStyle w:val="Standard1"/>
          <w:rFonts w:ascii="Open Sans" w:hAnsi="Open Sans" w:cs="Open Sans"/>
          <w:lang w:eastAsia="fr-FR"/>
        </w:rPr>
        <w:t xml:space="preserve">SUMMARY OF THE EXEMPTION REQUEST OF </w:t>
      </w:r>
      <w:r w:rsidRPr="00876A48">
        <w:rPr>
          <w:rStyle w:val="Standard1"/>
          <w:rFonts w:ascii="Open Sans" w:hAnsi="Open Sans" w:cs="Open Sans"/>
          <w:b/>
          <w:lang w:eastAsia="fr-FR"/>
        </w:rPr>
        <w:t>PERKINELMER</w:t>
      </w:r>
    </w:p>
    <w:p w14:paraId="79307F80" w14:textId="0FF35998" w:rsidR="00E16205" w:rsidRDefault="00E16205" w:rsidP="00E16205">
      <w:pPr>
        <w:rPr>
          <w:rStyle w:val="Standard1"/>
          <w:rFonts w:ascii="Open Sans" w:hAnsi="Open Sans" w:cs="Open Sans"/>
          <w:i/>
          <w:lang w:eastAsia="fr-FR"/>
        </w:rPr>
      </w:pPr>
      <w:r w:rsidRPr="00870C29">
        <w:rPr>
          <w:rStyle w:val="Standard1"/>
          <w:rFonts w:ascii="Open Sans" w:hAnsi="Open Sans" w:cs="Open Sans"/>
          <w:i/>
          <w:lang w:eastAsia="fr-FR"/>
        </w:rPr>
        <w:t xml:space="preserve">PerkinElmer requests </w:t>
      </w:r>
      <w:r>
        <w:rPr>
          <w:rStyle w:val="Standard1"/>
          <w:rFonts w:ascii="Open Sans" w:hAnsi="Open Sans" w:cs="Open Sans"/>
          <w:i/>
          <w:lang w:eastAsia="fr-FR"/>
        </w:rPr>
        <w:t xml:space="preserve">the renewal of the exemption with the following scope and wording in the </w:t>
      </w:r>
      <w:r>
        <w:rPr>
          <w:rStyle w:val="Standard1"/>
          <w:rFonts w:ascii="Open Sans" w:hAnsi="Open Sans" w:cs="Open Sans"/>
          <w:i/>
          <w:lang w:val="en-US" w:eastAsia="fr-FR"/>
        </w:rPr>
        <w:t>clarification questionnaire</w:t>
      </w:r>
      <w:r>
        <w:rPr>
          <w:rStyle w:val="Standard1"/>
          <w:rFonts w:ascii="Open Sans" w:hAnsi="Open Sans" w:cs="Open Sans"/>
          <w:i/>
          <w:lang w:eastAsia="fr-FR"/>
        </w:rPr>
        <w:t>:</w:t>
      </w:r>
    </w:p>
    <w:p w14:paraId="4560EE5F" w14:textId="6329E2EA" w:rsidR="00E16205" w:rsidRDefault="00E16205" w:rsidP="00CE0004">
      <w:pPr>
        <w:jc w:val="center"/>
        <w:rPr>
          <w:rStyle w:val="Standard1"/>
          <w:rFonts w:ascii="Open Sans" w:hAnsi="Open Sans" w:cs="Open Sans"/>
          <w:i/>
          <w:lang w:eastAsia="fr-FR"/>
        </w:rPr>
      </w:pPr>
      <w:r>
        <w:rPr>
          <w:rStyle w:val="Standard1"/>
          <w:rFonts w:ascii="Open Sans" w:hAnsi="Open Sans" w:cs="Open Sans"/>
          <w:i/>
          <w:lang w:eastAsia="fr-FR"/>
        </w:rPr>
        <w:t>“</w:t>
      </w:r>
      <w:r w:rsidRPr="00E16205">
        <w:rPr>
          <w:rStyle w:val="Standard1"/>
          <w:rFonts w:ascii="Open Sans" w:hAnsi="Open Sans" w:cs="Open Sans"/>
          <w:b/>
          <w:i/>
          <w:lang w:val="en-US" w:eastAsia="fr-FR"/>
        </w:rPr>
        <w:t>Cadmium and mercury in infra-red detectors of Fourier transform infra-red (FTIR) spectrometers and microscopes</w:t>
      </w:r>
      <w:r>
        <w:rPr>
          <w:rStyle w:val="Standard1"/>
          <w:rFonts w:ascii="Open Sans" w:hAnsi="Open Sans" w:cs="Open Sans"/>
          <w:i/>
          <w:lang w:val="en-US" w:eastAsia="fr-FR"/>
        </w:rPr>
        <w:t>”</w:t>
      </w:r>
    </w:p>
    <w:p w14:paraId="275E7D57" w14:textId="03BB5DE0" w:rsidR="00E16205" w:rsidRPr="00870C29" w:rsidRDefault="00473771" w:rsidP="00E16205">
      <w:pPr>
        <w:rPr>
          <w:rStyle w:val="Standard1"/>
          <w:rFonts w:ascii="Open Sans" w:hAnsi="Open Sans" w:cs="Open Sans"/>
          <w:i/>
          <w:lang w:eastAsia="fr-FR"/>
        </w:rPr>
      </w:pPr>
      <w:r>
        <w:rPr>
          <w:rStyle w:val="Standard1"/>
          <w:rFonts w:ascii="Open Sans" w:hAnsi="Open Sans" w:cs="Open Sans"/>
          <w:i/>
          <w:lang w:eastAsia="fr-FR"/>
        </w:rPr>
        <w:t>PerkinElmer</w:t>
      </w:r>
      <w:r w:rsidR="00E16205">
        <w:rPr>
          <w:rStyle w:val="Standard1"/>
          <w:rFonts w:ascii="Open Sans" w:hAnsi="Open Sans" w:cs="Open Sans"/>
          <w:i/>
          <w:lang w:eastAsia="fr-FR"/>
        </w:rPr>
        <w:t xml:space="preserve"> claims “[…]</w:t>
      </w:r>
      <w:r w:rsidR="00E16205" w:rsidRPr="00870C29">
        <w:rPr>
          <w:rStyle w:val="Standard1"/>
          <w:rFonts w:ascii="Open Sans" w:hAnsi="Open Sans" w:cs="Open Sans"/>
          <w:i/>
          <w:lang w:eastAsia="fr-FR"/>
        </w:rPr>
        <w:t xml:space="preserve"> that MCT</w:t>
      </w:r>
      <w:r w:rsidR="00E16205">
        <w:rPr>
          <w:rStyle w:val="Standard1"/>
          <w:rFonts w:ascii="Open Sans" w:hAnsi="Open Sans" w:cs="Open Sans"/>
          <w:i/>
          <w:lang w:eastAsia="fr-FR"/>
        </w:rPr>
        <w:t xml:space="preserve"> [</w:t>
      </w:r>
      <w:r w:rsidR="00E16205" w:rsidRPr="005661D1">
        <w:rPr>
          <w:rStyle w:val="Standard1"/>
          <w:rFonts w:ascii="Open Sans" w:hAnsi="Open Sans" w:cs="Open Sans"/>
          <w:i/>
          <w:lang w:eastAsia="fr-FR"/>
        </w:rPr>
        <w:t>mercury cadmium telluride</w:t>
      </w:r>
      <w:r w:rsidR="00E16205">
        <w:rPr>
          <w:rStyle w:val="Standard1"/>
          <w:rFonts w:ascii="Open Sans" w:hAnsi="Open Sans" w:cs="Open Sans"/>
          <w:i/>
          <w:lang w:eastAsia="fr-FR"/>
        </w:rPr>
        <w:t>]</w:t>
      </w:r>
      <w:r w:rsidR="00E16205" w:rsidRPr="00870C29">
        <w:rPr>
          <w:rStyle w:val="Standard1"/>
          <w:rFonts w:ascii="Open Sans" w:hAnsi="Open Sans" w:cs="Open Sans"/>
          <w:i/>
          <w:lang w:eastAsia="fr-FR"/>
        </w:rPr>
        <w:t xml:space="preserve"> is the only detector material currently available which is able to provide all of the following characteristics required for FTIR spectrometers and microscopes:</w:t>
      </w:r>
    </w:p>
    <w:p w14:paraId="6EFB2C5F" w14:textId="77777777" w:rsidR="00E16205" w:rsidRPr="00870C29" w:rsidRDefault="00E16205" w:rsidP="00E16205">
      <w:pPr>
        <w:pStyle w:val="Paragraphedeliste"/>
        <w:numPr>
          <w:ilvl w:val="0"/>
          <w:numId w:val="36"/>
        </w:numPr>
        <w:rPr>
          <w:rStyle w:val="Standard1"/>
          <w:rFonts w:ascii="Open Sans" w:hAnsi="Open Sans" w:cs="Open Sans"/>
          <w:i/>
          <w:lang w:val="en-US" w:eastAsia="fr-FR"/>
        </w:rPr>
      </w:pPr>
      <w:r w:rsidRPr="00870C29">
        <w:rPr>
          <w:rStyle w:val="Standard1"/>
          <w:rFonts w:ascii="Open Sans" w:hAnsi="Open Sans" w:cs="Open Sans"/>
          <w:i/>
          <w:lang w:val="en-US" w:eastAsia="fr-FR"/>
        </w:rPr>
        <w:t xml:space="preserve">Photoconductor with an electrical resistance that decreases as the level of incident infra-red light increases; </w:t>
      </w:r>
    </w:p>
    <w:p w14:paraId="34E23A70" w14:textId="77777777" w:rsidR="00E16205" w:rsidRPr="00870C29" w:rsidRDefault="00E16205" w:rsidP="00E16205">
      <w:pPr>
        <w:pStyle w:val="Paragraphedeliste"/>
        <w:numPr>
          <w:ilvl w:val="0"/>
          <w:numId w:val="36"/>
        </w:numPr>
        <w:rPr>
          <w:rStyle w:val="Standard1"/>
          <w:rFonts w:ascii="Open Sans" w:hAnsi="Open Sans" w:cs="Open Sans"/>
          <w:i/>
          <w:lang w:val="en-US" w:eastAsia="fr-FR"/>
        </w:rPr>
      </w:pPr>
      <w:r w:rsidRPr="00870C29">
        <w:rPr>
          <w:rStyle w:val="Standard1"/>
          <w:rFonts w:ascii="Open Sans" w:hAnsi="Open Sans" w:cs="Open Sans"/>
          <w:i/>
          <w:lang w:val="en-US" w:eastAsia="fr-FR"/>
        </w:rPr>
        <w:t xml:space="preserve">High sensitivity to small infra-red light level changes producing a strong signal; </w:t>
      </w:r>
    </w:p>
    <w:p w14:paraId="65E8B353" w14:textId="77777777" w:rsidR="00E16205" w:rsidRPr="00870C29" w:rsidRDefault="00E16205" w:rsidP="00E16205">
      <w:pPr>
        <w:pStyle w:val="Paragraphedeliste"/>
        <w:numPr>
          <w:ilvl w:val="0"/>
          <w:numId w:val="36"/>
        </w:numPr>
        <w:rPr>
          <w:rStyle w:val="Standard1"/>
          <w:rFonts w:ascii="Open Sans" w:hAnsi="Open Sans" w:cs="Open Sans"/>
          <w:i/>
          <w:lang w:val="en-US" w:eastAsia="fr-FR"/>
        </w:rPr>
      </w:pPr>
      <w:r w:rsidRPr="00870C29">
        <w:rPr>
          <w:rStyle w:val="Standard1"/>
          <w:rFonts w:ascii="Open Sans" w:hAnsi="Open Sans" w:cs="Open Sans"/>
          <w:i/>
          <w:lang w:val="en-US" w:eastAsia="fr-FR"/>
        </w:rPr>
        <w:t xml:space="preserve">Low dielectric constant, ensuring that the signal to noise ratio is </w:t>
      </w:r>
      <w:proofErr w:type="spellStart"/>
      <w:r w:rsidRPr="00870C29">
        <w:rPr>
          <w:rStyle w:val="Standard1"/>
          <w:rFonts w:ascii="Open Sans" w:hAnsi="Open Sans" w:cs="Open Sans"/>
          <w:i/>
          <w:lang w:val="en-US" w:eastAsia="fr-FR"/>
        </w:rPr>
        <w:t>maximised</w:t>
      </w:r>
      <w:proofErr w:type="spellEnd"/>
      <w:r w:rsidRPr="00870C29">
        <w:rPr>
          <w:rStyle w:val="Standard1"/>
          <w:rFonts w:ascii="Open Sans" w:hAnsi="Open Sans" w:cs="Open Sans"/>
          <w:i/>
          <w:lang w:val="en-US" w:eastAsia="fr-FR"/>
        </w:rPr>
        <w:t xml:space="preserve">; </w:t>
      </w:r>
    </w:p>
    <w:p w14:paraId="2B3472C9" w14:textId="77777777" w:rsidR="00E16205" w:rsidRPr="00870C29" w:rsidRDefault="00E16205" w:rsidP="00E16205">
      <w:pPr>
        <w:pStyle w:val="Paragraphedeliste"/>
        <w:numPr>
          <w:ilvl w:val="0"/>
          <w:numId w:val="36"/>
        </w:numPr>
        <w:rPr>
          <w:rStyle w:val="Standard1"/>
          <w:rFonts w:ascii="Open Sans" w:hAnsi="Open Sans" w:cs="Open Sans"/>
          <w:i/>
          <w:lang w:val="en-US" w:eastAsia="fr-FR"/>
        </w:rPr>
      </w:pPr>
      <w:r w:rsidRPr="00870C29">
        <w:rPr>
          <w:rStyle w:val="Standard1"/>
          <w:rFonts w:ascii="Open Sans" w:hAnsi="Open Sans" w:cs="Open Sans"/>
          <w:i/>
          <w:lang w:val="en-US" w:eastAsia="fr-FR"/>
        </w:rPr>
        <w:t xml:space="preserve">Relatively low electrical resistance when not exposed to infra-red light; </w:t>
      </w:r>
    </w:p>
    <w:p w14:paraId="1624579F" w14:textId="77777777" w:rsidR="00E16205" w:rsidRPr="00870C29" w:rsidRDefault="00E16205" w:rsidP="00E16205">
      <w:pPr>
        <w:pStyle w:val="Paragraphedeliste"/>
        <w:numPr>
          <w:ilvl w:val="0"/>
          <w:numId w:val="36"/>
        </w:numPr>
        <w:rPr>
          <w:rStyle w:val="Standard1"/>
          <w:rFonts w:ascii="Open Sans" w:hAnsi="Open Sans" w:cs="Open Sans"/>
          <w:i/>
          <w:lang w:val="en-US" w:eastAsia="fr-FR"/>
        </w:rPr>
      </w:pPr>
      <w:r w:rsidRPr="00870C29">
        <w:rPr>
          <w:rStyle w:val="Standard1"/>
          <w:rFonts w:ascii="Open Sans" w:hAnsi="Open Sans" w:cs="Open Sans"/>
          <w:i/>
          <w:lang w:val="en-US" w:eastAsia="fr-FR"/>
        </w:rPr>
        <w:t xml:space="preserve">Low noise, otherwise averaging methods have to be used which increases measurement time by a factor of 4 for an improvement of the signal to noise ratio of two due to a square law relationship; </w:t>
      </w:r>
    </w:p>
    <w:p w14:paraId="0B4236FF" w14:textId="77777777" w:rsidR="00E16205" w:rsidRPr="00870C29" w:rsidRDefault="00E16205" w:rsidP="00E16205">
      <w:pPr>
        <w:pStyle w:val="Paragraphedeliste"/>
        <w:numPr>
          <w:ilvl w:val="0"/>
          <w:numId w:val="36"/>
        </w:numPr>
        <w:rPr>
          <w:rStyle w:val="Standard1"/>
          <w:rFonts w:ascii="Open Sans" w:hAnsi="Open Sans" w:cs="Open Sans"/>
          <w:i/>
          <w:lang w:val="en-US" w:eastAsia="fr-FR"/>
        </w:rPr>
      </w:pPr>
      <w:r w:rsidRPr="00870C29">
        <w:rPr>
          <w:rStyle w:val="Standard1"/>
          <w:rFonts w:ascii="Open Sans" w:hAnsi="Open Sans" w:cs="Open Sans"/>
          <w:i/>
          <w:lang w:val="en-US" w:eastAsia="fr-FR"/>
        </w:rPr>
        <w:t xml:space="preserve">Ability to detect over a wide range of IR regions therefore requiring both low and high carrier concentrations; and </w:t>
      </w:r>
    </w:p>
    <w:p w14:paraId="06448C03" w14:textId="77777777" w:rsidR="00E16205" w:rsidRPr="00870C29" w:rsidRDefault="00E16205" w:rsidP="00E16205">
      <w:pPr>
        <w:pStyle w:val="Paragraphedeliste"/>
        <w:numPr>
          <w:ilvl w:val="0"/>
          <w:numId w:val="36"/>
        </w:numPr>
        <w:rPr>
          <w:rStyle w:val="Standard1"/>
          <w:rFonts w:ascii="Open Sans" w:hAnsi="Open Sans" w:cs="Open Sans"/>
          <w:i/>
          <w:lang w:val="en-US" w:eastAsia="fr-FR"/>
        </w:rPr>
      </w:pPr>
      <w:r w:rsidRPr="00870C29">
        <w:rPr>
          <w:rStyle w:val="Standard1"/>
          <w:rFonts w:ascii="Open Sans" w:hAnsi="Open Sans" w:cs="Open Sans"/>
          <w:i/>
          <w:lang w:val="en-US" w:eastAsia="fr-FR"/>
        </w:rPr>
        <w:t>FTIR spectrometers for kinetics studies must have very fast response to changes in concentration of substances with typical requirements being the ability to measure spectra in times that are 1000 times shorter than the overall changes in concentration.</w:t>
      </w:r>
      <w:r>
        <w:rPr>
          <w:rStyle w:val="Standard1"/>
          <w:rFonts w:ascii="Open Sans" w:hAnsi="Open Sans" w:cs="Open Sans"/>
          <w:i/>
          <w:lang w:val="en-US" w:eastAsia="fr-FR"/>
        </w:rPr>
        <w:t>”</w:t>
      </w:r>
      <w:r w:rsidRPr="00870C29">
        <w:rPr>
          <w:rStyle w:val="Standard1"/>
          <w:rFonts w:ascii="Open Sans" w:hAnsi="Open Sans" w:cs="Open Sans"/>
          <w:i/>
          <w:lang w:val="en-US" w:eastAsia="fr-FR"/>
        </w:rPr>
        <w:t xml:space="preserve"> </w:t>
      </w:r>
    </w:p>
    <w:p w14:paraId="0EBC0B7C" w14:textId="2401E428" w:rsidR="00E16205" w:rsidRDefault="00E16205" w:rsidP="00E16205">
      <w:pPr>
        <w:rPr>
          <w:rStyle w:val="Standard1"/>
          <w:rFonts w:ascii="Open Sans" w:hAnsi="Open Sans" w:cs="Open Sans"/>
          <w:i/>
          <w:lang w:eastAsia="fr-FR"/>
        </w:rPr>
      </w:pPr>
      <w:r w:rsidRPr="00870C29">
        <w:rPr>
          <w:rStyle w:val="Standard1"/>
          <w:rFonts w:ascii="Open Sans" w:hAnsi="Open Sans" w:cs="Open Sans"/>
          <w:i/>
          <w:lang w:eastAsia="fr-FR"/>
        </w:rPr>
        <w:t xml:space="preserve">The applicant requests </w:t>
      </w:r>
      <w:r w:rsidR="00473771">
        <w:rPr>
          <w:rStyle w:val="Standard1"/>
          <w:rFonts w:ascii="Open Sans" w:hAnsi="Open Sans" w:cs="Open Sans"/>
          <w:i/>
          <w:lang w:eastAsia="fr-FR"/>
        </w:rPr>
        <w:t>the</w:t>
      </w:r>
      <w:r w:rsidRPr="00870C29">
        <w:rPr>
          <w:rStyle w:val="Standard1"/>
          <w:rFonts w:ascii="Open Sans" w:hAnsi="Open Sans" w:cs="Open Sans"/>
          <w:i/>
          <w:lang w:eastAsia="fr-FR"/>
        </w:rPr>
        <w:t xml:space="preserve"> renewal of this exemption for</w:t>
      </w:r>
      <w:r>
        <w:rPr>
          <w:rStyle w:val="Standard1"/>
          <w:rFonts w:ascii="Open Sans" w:hAnsi="Open Sans" w:cs="Open Sans"/>
          <w:i/>
          <w:lang w:eastAsia="fr-FR"/>
        </w:rPr>
        <w:t xml:space="preserve"> 7</w:t>
      </w:r>
      <w:r w:rsidRPr="00870C29">
        <w:rPr>
          <w:rStyle w:val="Standard1"/>
          <w:rFonts w:ascii="Open Sans" w:hAnsi="Open Sans" w:cs="Open Sans"/>
          <w:i/>
          <w:lang w:eastAsia="fr-FR"/>
        </w:rPr>
        <w:t xml:space="preserve"> years.</w:t>
      </w:r>
    </w:p>
    <w:p w14:paraId="5C576EA5" w14:textId="77777777" w:rsidR="00E16205" w:rsidRPr="00870C29" w:rsidRDefault="00E16205" w:rsidP="00E16205">
      <w:pPr>
        <w:rPr>
          <w:rStyle w:val="Standard1"/>
          <w:rFonts w:ascii="Open Sans" w:hAnsi="Open Sans" w:cs="Open Sans"/>
          <w:i/>
          <w:lang w:eastAsia="fr-FR"/>
        </w:rPr>
      </w:pPr>
    </w:p>
    <w:p w14:paraId="19980369" w14:textId="1FA23F5B"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Pr>
          <w:rStyle w:val="Appelnotedebasdep"/>
          <w:rFonts w:cs="Open Sans"/>
        </w:rPr>
        <w:footnoteReference w:id="5"/>
      </w:r>
      <w:r w:rsidRPr="00672D1F">
        <w:rPr>
          <w:rStyle w:val="Standard1"/>
          <w:rFonts w:ascii="Open Sans" w:hAnsi="Open Sans" w:cs="Open Sans"/>
          <w:lang w:eastAsia="fr-FR"/>
        </w:rPr>
        <w:t xml:space="preserve"> </w:t>
      </w:r>
    </w:p>
    <w:p w14:paraId="77C7A197" w14:textId="201C72FF"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 xml:space="preserve">To contribute to this stakeholder consultation, please answer the </w:t>
      </w:r>
      <w:r w:rsidR="00CC43A3" w:rsidRPr="00CC43A3">
        <w:rPr>
          <w:rStyle w:val="Standard1"/>
          <w:rFonts w:ascii="Open Sans" w:hAnsi="Open Sans" w:cs="Open Sans"/>
          <w:lang w:eastAsia="fr-FR"/>
        </w:rPr>
        <w:t xml:space="preserve">questions below by </w:t>
      </w:r>
      <w:r w:rsidR="00A003B6" w:rsidRPr="00A003B6">
        <w:rPr>
          <w:rStyle w:val="Standard1"/>
          <w:rFonts w:ascii="Open Sans" w:hAnsi="Open Sans" w:cs="Open Sans"/>
          <w:lang w:eastAsia="fr-FR"/>
        </w:rPr>
        <w:t>December 2nd,</w:t>
      </w:r>
      <w:bookmarkStart w:id="1" w:name="_GoBack"/>
      <w:bookmarkEnd w:id="1"/>
      <w:r w:rsidR="00CC43A3" w:rsidRPr="00CC43A3">
        <w:rPr>
          <w:rStyle w:val="Standard1"/>
          <w:rFonts w:ascii="Open Sans" w:hAnsi="Open Sans" w:cs="Open Sans"/>
          <w:lang w:eastAsia="fr-FR"/>
        </w:rPr>
        <w:t xml:space="preserve"> 2020.</w:t>
      </w:r>
    </w:p>
    <w:p w14:paraId="408F24E0" w14:textId="77777777" w:rsidR="00672D1F" w:rsidRPr="009F5D18" w:rsidRDefault="00672D1F" w:rsidP="00D05732">
      <w:pPr>
        <w:pStyle w:val="Titre1"/>
        <w:rPr>
          <w:rStyle w:val="Standard1"/>
          <w:rFonts w:ascii="Open Sans" w:hAnsi="Open Sans" w:cs="Open Sans"/>
          <w:lang w:eastAsia="fr-FR"/>
        </w:rPr>
      </w:pPr>
      <w:r w:rsidRPr="009F5D18">
        <w:rPr>
          <w:rStyle w:val="Standard1"/>
          <w:rFonts w:ascii="Open Sans" w:hAnsi="Open Sans" w:cs="Open Sans"/>
          <w:lang w:eastAsia="fr-FR"/>
        </w:rPr>
        <w:lastRenderedPageBreak/>
        <w:t>Questions</w:t>
      </w:r>
    </w:p>
    <w:p w14:paraId="4E868B80" w14:textId="1A66A036"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The applicant</w:t>
      </w:r>
      <w:r w:rsidR="00D4521F">
        <w:rPr>
          <w:rStyle w:val="Standard1"/>
          <w:rFonts w:ascii="Open Sans" w:hAnsi="Open Sans" w:cs="Open Sans"/>
          <w:lang w:eastAsia="fr-FR"/>
        </w:rPr>
        <w:t>s have</w:t>
      </w:r>
      <w:r w:rsidRPr="00672D1F">
        <w:rPr>
          <w:rStyle w:val="Standard1"/>
          <w:rFonts w:ascii="Open Sans" w:hAnsi="Open Sans" w:cs="Open Sans"/>
          <w:lang w:eastAsia="fr-FR"/>
        </w:rPr>
        <w:t xml:space="preserve"> requested the renewal of exemption </w:t>
      </w:r>
      <w:r w:rsidR="00743887">
        <w:rPr>
          <w:rStyle w:val="Standard1"/>
          <w:rFonts w:ascii="Open Sans" w:hAnsi="Open Sans" w:cs="Open Sans"/>
          <w:lang w:eastAsia="fr-FR"/>
        </w:rPr>
        <w:t>1(c)</w:t>
      </w:r>
      <w:r w:rsidRPr="00672D1F">
        <w:rPr>
          <w:rStyle w:val="Standard1"/>
          <w:rFonts w:ascii="Open Sans" w:hAnsi="Open Sans" w:cs="Open Sans"/>
          <w:lang w:eastAsia="fr-FR"/>
        </w:rPr>
        <w:t xml:space="preserve"> of RoHS Annex IV with </w:t>
      </w:r>
      <w:r w:rsidR="00473771">
        <w:rPr>
          <w:rStyle w:val="Standard1"/>
          <w:rFonts w:ascii="Open Sans" w:hAnsi="Open Sans" w:cs="Open Sans"/>
          <w:lang w:eastAsia="fr-FR"/>
        </w:rPr>
        <w:t>partially different scopes and wording.</w:t>
      </w:r>
    </w:p>
    <w:p w14:paraId="1AA29D72" w14:textId="7F099616" w:rsid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 xml:space="preserve">Please let us know whether you support or disagree with </w:t>
      </w:r>
      <w:r w:rsidR="00473771">
        <w:rPr>
          <w:rStyle w:val="Standard1"/>
          <w:rFonts w:ascii="Open Sans" w:hAnsi="Open Sans" w:cs="Open Sans"/>
          <w:lang w:eastAsia="fr-FR"/>
        </w:rPr>
        <w:t>any of the above</w:t>
      </w:r>
      <w:r w:rsidRPr="00D05732">
        <w:rPr>
          <w:rStyle w:val="Standard1"/>
          <w:rFonts w:ascii="Open Sans" w:hAnsi="Open Sans" w:cs="Open Sans"/>
          <w:lang w:eastAsia="fr-FR"/>
        </w:rPr>
        <w:t xml:space="preserve"> wording</w:t>
      </w:r>
      <w:r w:rsidR="00473771">
        <w:rPr>
          <w:rStyle w:val="Standard1"/>
          <w:rFonts w:ascii="Open Sans" w:hAnsi="Open Sans" w:cs="Open Sans"/>
          <w:lang w:eastAsia="fr-FR"/>
        </w:rPr>
        <w:t>s</w:t>
      </w:r>
      <w:r w:rsidRPr="00D05732">
        <w:rPr>
          <w:rStyle w:val="Standard1"/>
          <w:rFonts w:ascii="Open Sans" w:hAnsi="Open Sans" w:cs="Open Sans"/>
          <w:lang w:eastAsia="fr-FR"/>
        </w:rPr>
        <w:t>, scope</w:t>
      </w:r>
      <w:r w:rsidR="00473771">
        <w:rPr>
          <w:rStyle w:val="Standard1"/>
          <w:rFonts w:ascii="Open Sans" w:hAnsi="Open Sans" w:cs="Open Sans"/>
          <w:lang w:eastAsia="fr-FR"/>
        </w:rPr>
        <w:t>s and re</w:t>
      </w:r>
      <w:r w:rsidRPr="00D05732">
        <w:rPr>
          <w:rStyle w:val="Standard1"/>
          <w:rFonts w:ascii="Open Sans" w:hAnsi="Open Sans" w:cs="Open Sans"/>
          <w:lang w:eastAsia="fr-FR"/>
        </w:rPr>
        <w:t>quested duration</w:t>
      </w:r>
      <w:r w:rsidR="00473771">
        <w:rPr>
          <w:rStyle w:val="Standard1"/>
          <w:rFonts w:ascii="Open Sans" w:hAnsi="Open Sans" w:cs="Open Sans"/>
          <w:lang w:eastAsia="fr-FR"/>
        </w:rPr>
        <w:t>s</w:t>
      </w:r>
      <w:r w:rsidRPr="00D05732">
        <w:rPr>
          <w:rStyle w:val="Standard1"/>
          <w:rFonts w:ascii="Open Sans" w:hAnsi="Open Sans" w:cs="Open Sans"/>
          <w:lang w:eastAsia="fr-FR"/>
        </w:rPr>
        <w:t xml:space="preserve"> of the exemption. To support your views, please provide detailed technical argumentation / evidence in line with the criteria4 in Art. 5(1)(a).</w:t>
      </w:r>
    </w:p>
    <w:p w14:paraId="6B7EE020" w14:textId="77777777" w:rsidR="00672D1F" w:rsidRP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7D6910ED" w14:textId="615E02A4" w:rsidR="00672D1F" w:rsidRPr="00C25FF3" w:rsidRDefault="00672D1F" w:rsidP="004C158F">
      <w:pPr>
        <w:numPr>
          <w:ilvl w:val="0"/>
          <w:numId w:val="28"/>
        </w:numPr>
        <w:rPr>
          <w:rStyle w:val="Standard1"/>
          <w:rFonts w:ascii="Open Sans" w:hAnsi="Open Sans" w:cs="Open Sans"/>
          <w:lang w:eastAsia="fr-FR"/>
        </w:rPr>
      </w:pPr>
      <w:r w:rsidRPr="00C25FF3">
        <w:rPr>
          <w:rStyle w:val="Standard1"/>
          <w:rFonts w:ascii="Open Sans" w:hAnsi="Open Sans" w:cs="Open Sans"/>
          <w:lang w:eastAsia="fr-FR"/>
        </w:rPr>
        <w:t xml:space="preserve">Please provide information concerning possible substitutes or elimination possibilities at present or in the future so that the requested exemption could be restricted or revoked. </w:t>
      </w:r>
      <w:r w:rsidR="00C25FF3" w:rsidRPr="00C25FF3">
        <w:rPr>
          <w:rStyle w:val="Standard1"/>
          <w:rFonts w:ascii="Open Sans" w:hAnsi="Open Sans" w:cs="Open Sans"/>
          <w:lang w:eastAsia="fr-FR"/>
        </w:rPr>
        <w:t>Please specify which of the requested exemption scopes and wordings you address in your answers.</w:t>
      </w:r>
    </w:p>
    <w:p w14:paraId="42BB441E" w14:textId="3337289F"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Please explain substitution and elimination possibiliti</w:t>
      </w:r>
      <w:r w:rsidR="00C25FF3">
        <w:rPr>
          <w:rStyle w:val="Standard1"/>
          <w:rFonts w:ascii="Open Sans" w:hAnsi="Open Sans" w:cs="Open Sans"/>
          <w:lang w:eastAsia="fr-FR"/>
        </w:rPr>
        <w:t>es and for which part of the ap</w:t>
      </w:r>
      <w:r w:rsidRPr="00672D1F">
        <w:rPr>
          <w:rStyle w:val="Standard1"/>
          <w:rFonts w:ascii="Open Sans" w:hAnsi="Open Sans" w:cs="Open Sans"/>
          <w:lang w:eastAsia="fr-FR"/>
        </w:rPr>
        <w:t xml:space="preserve">plications in the scope of the requested exemption they are relevant. </w:t>
      </w:r>
    </w:p>
    <w:p w14:paraId="2530FBA8"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63331DD1"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3B0BC733" w14:textId="77777777"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exemption? </w:t>
      </w:r>
    </w:p>
    <w:p w14:paraId="4DE5B50F" w14:textId="77777777"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005FEFDF"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7B81F54E"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additional waste to be generated should the requested ex-emption not be renewed or not be renewed for the requested duration?</w:t>
      </w:r>
    </w:p>
    <w:p w14:paraId="43ACB37D"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MRI devices, etc.</w:t>
      </w:r>
    </w:p>
    <w:p w14:paraId="536E97E7" w14:textId="5F1C7786" w:rsid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Please estimate additional costs associated should the requested exemption not be renewed, and how this is divided between various secto</w:t>
      </w:r>
      <w:r w:rsidR="00C54468">
        <w:rPr>
          <w:rStyle w:val="Standard1"/>
          <w:rFonts w:ascii="Open Sans" w:hAnsi="Open Sans" w:cs="Open Sans"/>
          <w:lang w:eastAsia="fr-FR"/>
        </w:rPr>
        <w:t>rs (e.g. private, public, indus</w:t>
      </w:r>
      <w:r w:rsidRPr="00672D1F">
        <w:rPr>
          <w:rStyle w:val="Standard1"/>
          <w:rFonts w:ascii="Open Sans" w:hAnsi="Open Sans" w:cs="Open Sans"/>
          <w:lang w:eastAsia="fr-FR"/>
        </w:rPr>
        <w:t>try: manufacturers, suppliers, retailers).</w:t>
      </w:r>
    </w:p>
    <w:p w14:paraId="62222911" w14:textId="070CC4AF" w:rsidR="00C25FF3" w:rsidRPr="00672D1F" w:rsidRDefault="00C25FF3" w:rsidP="00C25FF3">
      <w:pPr>
        <w:ind w:left="720"/>
        <w:rPr>
          <w:rStyle w:val="Standard1"/>
          <w:rFonts w:ascii="Open Sans" w:hAnsi="Open Sans" w:cs="Open Sans"/>
          <w:lang w:eastAsia="fr-FR"/>
        </w:rPr>
      </w:pPr>
      <w:r>
        <w:rPr>
          <w:rStyle w:val="Standard1"/>
          <w:rFonts w:ascii="Open Sans" w:hAnsi="Open Sans" w:cs="Open Sans"/>
          <w:lang w:eastAsia="fr-FR"/>
        </w:rPr>
        <w:lastRenderedPageBreak/>
        <w:t>Please specify which of the requested exemption scopes and wordings you address in your answers.</w:t>
      </w:r>
    </w:p>
    <w:p w14:paraId="5B971641" w14:textId="77777777" w:rsidR="00C7154C" w:rsidRPr="00672D1F" w:rsidRDefault="00C7154C" w:rsidP="00C7154C">
      <w:pPr>
        <w:numPr>
          <w:ilvl w:val="0"/>
          <w:numId w:val="33"/>
        </w:numPr>
        <w:rPr>
          <w:rStyle w:val="Standard1"/>
          <w:rFonts w:ascii="Open Sans" w:hAnsi="Open Sans" w:cs="Open Sans"/>
          <w:lang w:eastAsia="fr-FR"/>
        </w:rPr>
      </w:pPr>
      <w:r>
        <w:rPr>
          <w:rStyle w:val="Standard1"/>
          <w:rFonts w:ascii="Open Sans" w:hAnsi="Open Sans" w:cs="Open Sans"/>
          <w:lang w:eastAsia="fr-FR"/>
        </w:rPr>
        <w:t xml:space="preserve">Any other information you would like to share? </w:t>
      </w:r>
    </w:p>
    <w:p w14:paraId="58D47D77" w14:textId="77777777" w:rsidR="008545B3" w:rsidRDefault="008545B3" w:rsidP="00672D1F">
      <w:pPr>
        <w:rPr>
          <w:rStyle w:val="Standard1"/>
          <w:rFonts w:ascii="Open Sans" w:hAnsi="Open Sans" w:cs="Open Sans"/>
          <w:lang w:eastAsia="fr-FR"/>
        </w:rPr>
      </w:pPr>
    </w:p>
    <w:p w14:paraId="6ADE1D16"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660ED38B" w14:textId="77777777" w:rsidR="00EE7D6A"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 xml:space="preserve">Please do not forget to provide your contact details (Name, Organisation, e-mail and phone number) so that </w:t>
      </w:r>
      <w:r w:rsidR="00D05732">
        <w:rPr>
          <w:rStyle w:val="Standard1"/>
          <w:rFonts w:ascii="Open Sans" w:hAnsi="Open Sans" w:cs="Open Sans"/>
          <w:lang w:eastAsia="fr-FR"/>
        </w:rPr>
        <w:t xml:space="preserve">the project team </w:t>
      </w:r>
      <w:r w:rsidRPr="00672D1F">
        <w:rPr>
          <w:rStyle w:val="Standard1"/>
          <w:rFonts w:ascii="Open Sans" w:hAnsi="Open Sans" w:cs="Open Sans"/>
          <w:lang w:eastAsia="fr-FR"/>
        </w:rPr>
        <w:t>can contact you in case there are questions concerning your contribution.</w:t>
      </w:r>
    </w:p>
    <w:sectPr w:rsidR="00EE7D6A" w:rsidRPr="00672D1F" w:rsidSect="00D05732">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F9BB9" w14:textId="77777777" w:rsidR="00FD1A22" w:rsidRDefault="00FD1A22" w:rsidP="00AA6F34">
      <w:pPr>
        <w:spacing w:before="0" w:line="240" w:lineRule="auto"/>
        <w:rPr>
          <w:rFonts w:cs="Times New Roman"/>
        </w:rPr>
      </w:pPr>
      <w:r>
        <w:rPr>
          <w:rFonts w:cs="Times New Roman"/>
        </w:rPr>
        <w:separator/>
      </w:r>
    </w:p>
  </w:endnote>
  <w:endnote w:type="continuationSeparator" w:id="0">
    <w:p w14:paraId="6E6C8F82" w14:textId="77777777" w:rsidR="00FD1A22" w:rsidRDefault="00FD1A22"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05732" w:rsidRPr="00082399" w14:paraId="34D4F9E8" w14:textId="77777777" w:rsidTr="00CF0A01">
      <w:trPr>
        <w:jc w:val="center"/>
      </w:trPr>
      <w:tc>
        <w:tcPr>
          <w:tcW w:w="1415" w:type="dxa"/>
          <w:shd w:val="clear" w:color="auto" w:fill="auto"/>
        </w:tcPr>
        <w:p w14:paraId="1AB2CC26" w14:textId="56300129" w:rsidR="00D05732" w:rsidRPr="00082399" w:rsidRDefault="0069299E" w:rsidP="00D0573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344D26FA" wp14:editId="5F6C3B68">
                <wp:extent cx="596265" cy="25463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584E7EE2" w14:textId="77777777" w:rsidR="00D05732" w:rsidRPr="00082399" w:rsidRDefault="00D05732" w:rsidP="00D0573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56667CF7" w14:textId="5FD98795" w:rsidR="00D05732" w:rsidRPr="00082399" w:rsidRDefault="00D05732" w:rsidP="00D0573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A003B6">
            <w:rPr>
              <w:noProof/>
              <w:color w:val="4196C6"/>
              <w:sz w:val="18"/>
              <w:szCs w:val="18"/>
              <w:lang w:val="en-US"/>
            </w:rPr>
            <w:t>4</w:t>
          </w:r>
          <w:r w:rsidRPr="00082399">
            <w:rPr>
              <w:color w:val="4196C6"/>
              <w:sz w:val="18"/>
              <w:szCs w:val="18"/>
              <w:lang w:val="fr-FR"/>
            </w:rPr>
            <w:fldChar w:fldCharType="end"/>
          </w:r>
        </w:p>
      </w:tc>
    </w:tr>
  </w:tbl>
  <w:p w14:paraId="6983FB84" w14:textId="77777777" w:rsidR="00A33112" w:rsidRPr="00CA7F3F" w:rsidRDefault="00A33112">
    <w:pPr>
      <w:pStyle w:val="Pieddepage"/>
      <w:rPr>
        <w:rFonts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4F1A1B" w:rsidRPr="00082399" w14:paraId="0CE3E923" w14:textId="77777777" w:rsidTr="001B0C7B">
      <w:trPr>
        <w:jc w:val="center"/>
      </w:trPr>
      <w:tc>
        <w:tcPr>
          <w:tcW w:w="1415" w:type="dxa"/>
          <w:shd w:val="clear" w:color="auto" w:fill="auto"/>
        </w:tcPr>
        <w:p w14:paraId="658C4839" w14:textId="77777777" w:rsidR="004F1A1B" w:rsidRPr="00082399" w:rsidRDefault="004F1A1B" w:rsidP="004F1A1B">
          <w:pPr>
            <w:pStyle w:val="Pieddepage"/>
            <w:spacing w:before="0"/>
            <w:jc w:val="left"/>
            <w:rPr>
              <w:color w:val="7F7F7F"/>
              <w:sz w:val="18"/>
              <w:szCs w:val="18"/>
              <w:lang w:val="en-US"/>
            </w:rPr>
          </w:pPr>
          <w:r>
            <w:rPr>
              <w:noProof/>
              <w:color w:val="7F7F7F"/>
              <w:sz w:val="18"/>
              <w:szCs w:val="18"/>
              <w:lang w:val="fr-FR" w:bidi="hi-IN"/>
            </w:rPr>
            <w:drawing>
              <wp:inline distT="0" distB="0" distL="0" distR="0" wp14:anchorId="1E739DA3" wp14:editId="5473395A">
                <wp:extent cx="596265" cy="25463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51BB9F81" w14:textId="77777777" w:rsidR="004F1A1B" w:rsidRPr="00082399" w:rsidRDefault="004F1A1B" w:rsidP="004F1A1B">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5E2E7D0" w14:textId="77777777" w:rsidR="004F1A1B" w:rsidRPr="00082399" w:rsidRDefault="004F1A1B" w:rsidP="004F1A1B">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A003B6">
            <w:rPr>
              <w:noProof/>
              <w:color w:val="4196C6"/>
              <w:sz w:val="18"/>
              <w:szCs w:val="18"/>
              <w:lang w:val="en-US"/>
            </w:rPr>
            <w:t>3</w:t>
          </w:r>
          <w:r w:rsidRPr="00082399">
            <w:rPr>
              <w:color w:val="4196C6"/>
              <w:sz w:val="18"/>
              <w:szCs w:val="18"/>
              <w:lang w:val="fr-FR"/>
            </w:rPr>
            <w:fldChar w:fldCharType="end"/>
          </w:r>
        </w:p>
      </w:tc>
    </w:tr>
  </w:tbl>
  <w:p w14:paraId="6DE2892B" w14:textId="77777777" w:rsidR="00A33112" w:rsidRPr="00DC1E7F" w:rsidRDefault="00A33112" w:rsidP="00DC1E7F">
    <w:pPr>
      <w:pStyle w:val="Pieddepag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807583" w:rsidRPr="00082399" w14:paraId="2B708918" w14:textId="77777777" w:rsidTr="00811C2B">
      <w:trPr>
        <w:jc w:val="center"/>
      </w:trPr>
      <w:tc>
        <w:tcPr>
          <w:tcW w:w="1415" w:type="dxa"/>
          <w:shd w:val="clear" w:color="auto" w:fill="auto"/>
        </w:tcPr>
        <w:p w14:paraId="1E49DEFD" w14:textId="6E02E8A2" w:rsidR="00807583" w:rsidRPr="00082399" w:rsidRDefault="0069299E" w:rsidP="00082399">
          <w:pPr>
            <w:pStyle w:val="Pieddepage"/>
            <w:spacing w:before="0"/>
            <w:jc w:val="left"/>
            <w:rPr>
              <w:color w:val="7F7F7F"/>
              <w:sz w:val="18"/>
              <w:szCs w:val="18"/>
              <w:lang w:val="en-US"/>
            </w:rPr>
          </w:pPr>
          <w:r>
            <w:rPr>
              <w:noProof/>
              <w:color w:val="7F7F7F"/>
              <w:sz w:val="18"/>
              <w:szCs w:val="18"/>
              <w:lang w:val="fr-FR" w:bidi="hi-IN"/>
            </w:rPr>
            <w:drawing>
              <wp:inline distT="0" distB="0" distL="0" distR="0" wp14:anchorId="2833D66A" wp14:editId="26BAF983">
                <wp:extent cx="596265" cy="25463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12FC49E8" w14:textId="77777777" w:rsidR="00807583" w:rsidRPr="00082399" w:rsidRDefault="00082399" w:rsidP="00082399">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73AC1362" w14:textId="4CA21C64" w:rsidR="00807583" w:rsidRPr="00082399" w:rsidRDefault="00807583" w:rsidP="00082399">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A003B6">
            <w:rPr>
              <w:noProof/>
              <w:color w:val="4196C6"/>
              <w:sz w:val="18"/>
              <w:szCs w:val="18"/>
              <w:lang w:val="en-US"/>
            </w:rPr>
            <w:t>1</w:t>
          </w:r>
          <w:r w:rsidRPr="00082399">
            <w:rPr>
              <w:color w:val="4196C6"/>
              <w:sz w:val="18"/>
              <w:szCs w:val="18"/>
              <w:lang w:val="fr-FR"/>
            </w:rPr>
            <w:fldChar w:fldCharType="end"/>
          </w:r>
        </w:p>
      </w:tc>
    </w:tr>
  </w:tbl>
  <w:p w14:paraId="1748262D" w14:textId="77777777" w:rsidR="00A33112" w:rsidRPr="00082399" w:rsidRDefault="00A3311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F0889" w14:textId="77777777" w:rsidR="00FD1A22" w:rsidRDefault="00FD1A22" w:rsidP="00AA6F34">
      <w:pPr>
        <w:spacing w:before="0" w:line="240" w:lineRule="auto"/>
        <w:rPr>
          <w:rFonts w:cs="Times New Roman"/>
        </w:rPr>
      </w:pPr>
      <w:r>
        <w:rPr>
          <w:rFonts w:cs="Times New Roman"/>
        </w:rPr>
        <w:separator/>
      </w:r>
    </w:p>
  </w:footnote>
  <w:footnote w:type="continuationSeparator" w:id="0">
    <w:p w14:paraId="443F0F74" w14:textId="77777777" w:rsidR="00FD1A22" w:rsidRDefault="00FD1A22" w:rsidP="00AA6F34">
      <w:pPr>
        <w:spacing w:before="0" w:line="240" w:lineRule="auto"/>
        <w:rPr>
          <w:rFonts w:cs="Times New Roman"/>
        </w:rPr>
      </w:pPr>
      <w:r>
        <w:rPr>
          <w:rFonts w:cs="Times New Roman"/>
        </w:rPr>
        <w:continuationSeparator/>
      </w:r>
    </w:p>
  </w:footnote>
  <w:footnote w:type="continuationNotice" w:id="1">
    <w:p w14:paraId="4906A804" w14:textId="77777777" w:rsidR="00FD1A22" w:rsidRDefault="00FD1A22">
      <w:pPr>
        <w:spacing w:before="0" w:line="240" w:lineRule="auto"/>
        <w:rPr>
          <w:rFonts w:cs="Times New Roman"/>
        </w:rPr>
      </w:pPr>
    </w:p>
  </w:footnote>
  <w:footnote w:id="2">
    <w:p w14:paraId="67B569DC" w14:textId="77777777" w:rsidR="00672D1F" w:rsidRPr="00AA764B" w:rsidRDefault="00672D1F">
      <w:pPr>
        <w:pStyle w:val="Notedebasdepage"/>
      </w:pPr>
      <w:r w:rsidRPr="00AA764B">
        <w:rPr>
          <w:rStyle w:val="Appelnotedebasdep"/>
        </w:rPr>
        <w:footnoteRef/>
      </w:r>
      <w:r w:rsidRPr="00AA764B">
        <w:t xml:space="preserve"> It is implemented through the specific contract 070201/2020/832829/ENV.B.3 under the Framework contract ENV.B.3/FRA/2019/0017</w:t>
      </w:r>
    </w:p>
  </w:footnote>
  <w:footnote w:id="3">
    <w:p w14:paraId="35AB1675" w14:textId="639315A2" w:rsidR="00672D1F" w:rsidRPr="00AA764B" w:rsidRDefault="00672D1F" w:rsidP="004F1A1B">
      <w:pPr>
        <w:pStyle w:val="Notedebasdepage"/>
        <w:jc w:val="left"/>
      </w:pPr>
      <w:r w:rsidRPr="00AA764B">
        <w:rPr>
          <w:rStyle w:val="Appelnotedebasdep"/>
        </w:rPr>
        <w:footnoteRef/>
      </w:r>
      <w:r w:rsidRPr="00AA764B">
        <w:t xml:space="preserve"> Exemption request</w:t>
      </w:r>
      <w:r w:rsidR="004F1A1B">
        <w:t>s</w:t>
      </w:r>
      <w:r w:rsidRPr="00AA764B">
        <w:t xml:space="preserve"> available at </w:t>
      </w:r>
      <w:hyperlink r:id="rId1" w:history="1">
        <w:r w:rsidR="004F1A1B" w:rsidRPr="00BB3C97">
          <w:rPr>
            <w:rStyle w:val="Lienhypertexte"/>
          </w:rPr>
          <w:t>https://rohs.biois.eu/Ex_1c-IV_COCIR_Renewal-Request.pdf</w:t>
        </w:r>
      </w:hyperlink>
      <w:r w:rsidR="004F1A1B">
        <w:t xml:space="preserve">, </w:t>
      </w:r>
      <w:hyperlink r:id="rId2" w:history="1">
        <w:r w:rsidR="004F1A1B" w:rsidRPr="00BB3C97">
          <w:rPr>
            <w:rStyle w:val="Lienhypertexte"/>
          </w:rPr>
          <w:t>https://rohs.biois.eu/Ex_1c-IV_JBCE_Renewal-Request.pdf</w:t>
        </w:r>
      </w:hyperlink>
      <w:r w:rsidR="004F1A1B">
        <w:t xml:space="preserve">, </w:t>
      </w:r>
      <w:hyperlink r:id="rId3" w:history="1">
        <w:r w:rsidR="004F1A1B" w:rsidRPr="00BB3C97">
          <w:rPr>
            <w:rStyle w:val="Lienhypertexte"/>
          </w:rPr>
          <w:t>https://rohs.biois.eu/Ex_1c-IV_LC_Renewal-Request.pdf</w:t>
        </w:r>
      </w:hyperlink>
      <w:r w:rsidR="004F1A1B">
        <w:t xml:space="preserve">, </w:t>
      </w:r>
      <w:hyperlink r:id="rId4" w:history="1">
        <w:r w:rsidR="004F1A1B" w:rsidRPr="00BB3C97">
          <w:rPr>
            <w:rStyle w:val="Lienhypertexte"/>
          </w:rPr>
          <w:t>https://rohs.biois.eu/Ex_1c-IV_PE_Renewal-Request.pdf</w:t>
        </w:r>
      </w:hyperlink>
      <w:r w:rsidR="004F1A1B">
        <w:t xml:space="preserve">, </w:t>
      </w:r>
      <w:hyperlink r:id="rId5" w:history="1">
        <w:r w:rsidR="004F1A1B" w:rsidRPr="00BB3C97">
          <w:rPr>
            <w:rStyle w:val="Lienhypertexte"/>
          </w:rPr>
          <w:t>https://rohs.biois.eu/Ex-1c-IV_PPTF_Renewal-Request.pdf</w:t>
        </w:r>
      </w:hyperlink>
      <w:r w:rsidR="004F1A1B">
        <w:t xml:space="preserve">     </w:t>
      </w:r>
    </w:p>
  </w:footnote>
  <w:footnote w:id="4">
    <w:p w14:paraId="7F8951CE" w14:textId="49FFACB0" w:rsidR="00672D1F" w:rsidRPr="00AA764B" w:rsidRDefault="00672D1F" w:rsidP="004F1A1B">
      <w:pPr>
        <w:pStyle w:val="footnote"/>
      </w:pPr>
      <w:r w:rsidRPr="00AA764B">
        <w:rPr>
          <w:rStyle w:val="Appelnotedebasdep"/>
        </w:rPr>
        <w:footnoteRef/>
      </w:r>
      <w:r w:rsidRPr="00AA764B">
        <w:t xml:space="preserve"> Clarification questionnaire available at </w:t>
      </w:r>
      <w:hyperlink r:id="rId6" w:history="1">
        <w:r w:rsidR="004F1A1B" w:rsidRPr="00BB3C97">
          <w:rPr>
            <w:rStyle w:val="Lienhypertexte"/>
          </w:rPr>
          <w:t>https://rohs.biois.eu/Ex_1c-IV_COCIR_Questionnaire-1_Clarification.pdf</w:t>
        </w:r>
      </w:hyperlink>
      <w:r w:rsidR="004F1A1B">
        <w:t xml:space="preserve">, </w:t>
      </w:r>
      <w:hyperlink r:id="rId7" w:history="1">
        <w:r w:rsidR="004F1A1B" w:rsidRPr="00BB3C97">
          <w:rPr>
            <w:rStyle w:val="Lienhypertexte"/>
          </w:rPr>
          <w:t>https://rohs.biois.eu/Ex_1c-IV_JBCE_Questionnaire-1_Clarification.pdf</w:t>
        </w:r>
      </w:hyperlink>
      <w:r w:rsidR="004F1A1B">
        <w:t xml:space="preserve">, </w:t>
      </w:r>
      <w:hyperlink r:id="rId8" w:history="1">
        <w:r w:rsidR="004F1A1B" w:rsidRPr="00BB3C97">
          <w:rPr>
            <w:rStyle w:val="Lienhypertexte"/>
          </w:rPr>
          <w:t>https://rohs.biois.eu/Ex_1c-IV_LC_Questionnaire-1_Clarification.pdf</w:t>
        </w:r>
      </w:hyperlink>
      <w:r w:rsidR="004F1A1B">
        <w:t xml:space="preserve">, </w:t>
      </w:r>
      <w:hyperlink r:id="rId9" w:history="1">
        <w:r w:rsidR="004F1A1B" w:rsidRPr="00BB3C97">
          <w:rPr>
            <w:rStyle w:val="Lienhypertexte"/>
          </w:rPr>
          <w:t>https://rohs.biois.eu/Ex_1c-IV_PerkinElmer_Questionnaire-1_Clarification.pdf</w:t>
        </w:r>
      </w:hyperlink>
      <w:r w:rsidR="004F1A1B">
        <w:t xml:space="preserve">, </w:t>
      </w:r>
      <w:hyperlink r:id="rId10" w:history="1">
        <w:r w:rsidR="004F1A1B" w:rsidRPr="00BB3C97">
          <w:rPr>
            <w:rStyle w:val="Lienhypertexte"/>
          </w:rPr>
          <w:t>https://rohs.biois.eu/Ex_1c-IV_PPTF_Questionnaire-1_Clarification.pdf</w:t>
        </w:r>
      </w:hyperlink>
      <w:r w:rsidR="004F1A1B">
        <w:t xml:space="preserve">     </w:t>
      </w:r>
    </w:p>
  </w:footnote>
  <w:footnote w:id="5">
    <w:p w14:paraId="52143ABB" w14:textId="77777777" w:rsidR="00D05732" w:rsidRPr="00AA764B" w:rsidRDefault="00D05732" w:rsidP="00D05732">
      <w:pPr>
        <w:pStyle w:val="footnote"/>
      </w:pPr>
      <w:r w:rsidRPr="00AA764B">
        <w:rPr>
          <w:rStyle w:val="Appelnotedebasdep"/>
        </w:rPr>
        <w:footnoteRef/>
      </w:r>
      <w:r w:rsidRPr="00AA764B">
        <w:t xml:space="preserve"> Directive 2011/65/EU (RoHS) available at </w:t>
      </w:r>
      <w:hyperlink r:id="rId11" w:history="1">
        <w:r w:rsidRPr="00AA764B">
          <w:rPr>
            <w:rStyle w:val="Lienhypertexte"/>
          </w:rPr>
          <w:t>http://eur-lex.europa.eu/LexUriServ/LexUriServ.do?uri=CELEX:32011L0065:EN:NOT</w:t>
        </w:r>
      </w:hyperlink>
      <w:r w:rsidRPr="00AA764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A9296" w14:textId="7308C358" w:rsidR="00A33112" w:rsidRDefault="0069299E">
    <w:pPr>
      <w:pStyle w:val="En-tte"/>
    </w:pPr>
    <w:r>
      <w:rPr>
        <w:noProof/>
        <w:lang w:val="fr-FR" w:bidi="hi-IN"/>
      </w:rPr>
      <w:drawing>
        <wp:anchor distT="0" distB="0" distL="114300" distR="114300" simplePos="0" relativeHeight="251659264" behindDoc="0" locked="0" layoutInCell="1" allowOverlap="1" wp14:anchorId="37B25A5A" wp14:editId="2FBCA4BD">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8240" behindDoc="0" locked="0" layoutInCell="1" allowOverlap="1" wp14:anchorId="504105D6" wp14:editId="5BAFE712">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0288" behindDoc="0" locked="0" layoutInCell="1" allowOverlap="1" wp14:anchorId="6989C618" wp14:editId="068DDA35">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37046" w14:textId="77777777" w:rsidR="00952DB2" w:rsidRDefault="00952DB2" w:rsidP="00952DB2">
    <w:pPr>
      <w:pStyle w:val="En-tte"/>
    </w:pPr>
    <w:r>
      <w:rPr>
        <w:noProof/>
        <w:lang w:val="fr-FR" w:bidi="hi-IN"/>
      </w:rPr>
      <w:drawing>
        <wp:anchor distT="0" distB="0" distL="114300" distR="114300" simplePos="0" relativeHeight="251663360" behindDoc="0" locked="0" layoutInCell="1" allowOverlap="1" wp14:anchorId="7A66E998" wp14:editId="591C66F3">
          <wp:simplePos x="0" y="0"/>
          <wp:positionH relativeFrom="column">
            <wp:posOffset>512445</wp:posOffset>
          </wp:positionH>
          <wp:positionV relativeFrom="paragraph">
            <wp:posOffset>152400</wp:posOffset>
          </wp:positionV>
          <wp:extent cx="899160" cy="210185"/>
          <wp:effectExtent l="0" t="0" r="0" b="0"/>
          <wp:wrapSquare wrapText="bothSides"/>
          <wp:docPr id="16"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2336" behindDoc="0" locked="0" layoutInCell="1" allowOverlap="1" wp14:anchorId="31A66680" wp14:editId="57B6F764">
          <wp:simplePos x="0" y="0"/>
          <wp:positionH relativeFrom="column">
            <wp:posOffset>1411605</wp:posOffset>
          </wp:positionH>
          <wp:positionV relativeFrom="paragraph">
            <wp:posOffset>114300</wp:posOffset>
          </wp:positionV>
          <wp:extent cx="824865" cy="320675"/>
          <wp:effectExtent l="0" t="0" r="0" b="0"/>
          <wp:wrapSquare wrapText="bothSides"/>
          <wp:docPr id="17"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4384" behindDoc="0" locked="0" layoutInCell="1" allowOverlap="1" wp14:anchorId="213DAEB1" wp14:editId="56637D56">
          <wp:simplePos x="0" y="0"/>
          <wp:positionH relativeFrom="column">
            <wp:posOffset>2265680</wp:posOffset>
          </wp:positionH>
          <wp:positionV relativeFrom="paragraph">
            <wp:posOffset>140970</wp:posOffset>
          </wp:positionV>
          <wp:extent cx="774065" cy="210185"/>
          <wp:effectExtent l="0" t="0" r="0" b="0"/>
          <wp:wrapSquare wrapText="bothSides"/>
          <wp:docPr id="18"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95902" w14:textId="40BA13A2" w:rsidR="00A33112" w:rsidRDefault="0069299E" w:rsidP="00A9266C">
    <w:pPr>
      <w:pStyle w:val="En-tte"/>
      <w:tabs>
        <w:tab w:val="clear" w:pos="4536"/>
      </w:tabs>
      <w:jc w:val="right"/>
    </w:pPr>
    <w:r>
      <w:rPr>
        <w:noProof/>
        <w:sz w:val="18"/>
        <w:szCs w:val="18"/>
        <w:lang w:val="fr-FR" w:bidi="hi-IN"/>
      </w:rPr>
      <w:drawing>
        <wp:anchor distT="0" distB="0" distL="114300" distR="114300" simplePos="0" relativeHeight="251657216" behindDoc="0" locked="0" layoutInCell="1" allowOverlap="1" wp14:anchorId="0EDD1C44" wp14:editId="0093CA07">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55168" behindDoc="0" locked="0" layoutInCell="1" allowOverlap="1" wp14:anchorId="53920F34" wp14:editId="303465D0">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6192" behindDoc="0" locked="0" layoutInCell="1" allowOverlap="1" wp14:anchorId="255E2811" wp14:editId="31938759">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nsid w:val="03477A8F"/>
    <w:multiLevelType w:val="hybridMultilevel"/>
    <w:tmpl w:val="76341BB8"/>
    <w:lvl w:ilvl="0" w:tplc="5C9EB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3D57614F"/>
    <w:multiLevelType w:val="hybridMultilevel"/>
    <w:tmpl w:val="F040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7">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9">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Titre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
      <w:lvlJc w:val="left"/>
      <w:pPr>
        <w:tabs>
          <w:tab w:val="num" w:pos="907"/>
        </w:tabs>
        <w:ind w:left="907" w:hanging="907"/>
      </w:pPr>
      <w:rPr>
        <w:rFonts w:hint="default"/>
        <w:color w:val="00AB4D"/>
      </w:rPr>
    </w:lvl>
    <w:lvl w:ilvl="3">
      <w:start w:val="1"/>
      <w:numFmt w:val="decimal"/>
      <w:pStyle w:val="Titre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2">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3">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7">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2"/>
  </w:num>
  <w:num w:numId="9">
    <w:abstractNumId w:val="20"/>
  </w:num>
  <w:num w:numId="10">
    <w:abstractNumId w:val="14"/>
  </w:num>
  <w:num w:numId="11">
    <w:abstractNumId w:val="21"/>
  </w:num>
  <w:num w:numId="12">
    <w:abstractNumId w:val="7"/>
  </w:num>
  <w:num w:numId="13">
    <w:abstractNumId w:val="8"/>
  </w:num>
  <w:num w:numId="14">
    <w:abstractNumId w:val="6"/>
  </w:num>
  <w:num w:numId="15">
    <w:abstractNumId w:val="1"/>
  </w:num>
  <w:num w:numId="16">
    <w:abstractNumId w:val="18"/>
  </w:num>
  <w:num w:numId="17">
    <w:abstractNumId w:val="29"/>
  </w:num>
  <w:num w:numId="18">
    <w:abstractNumId w:val="11"/>
  </w:num>
  <w:num w:numId="19">
    <w:abstractNumId w:val="26"/>
  </w:num>
  <w:num w:numId="20">
    <w:abstractNumId w:val="0"/>
  </w:num>
  <w:num w:numId="21">
    <w:abstractNumId w:val="5"/>
  </w:num>
  <w:num w:numId="22">
    <w:abstractNumId w:val="16"/>
  </w:num>
  <w:num w:numId="23">
    <w:abstractNumId w:val="4"/>
  </w:num>
  <w:num w:numId="24">
    <w:abstractNumId w:val="10"/>
  </w:num>
  <w:num w:numId="25">
    <w:abstractNumId w:val="25"/>
  </w:num>
  <w:num w:numId="26">
    <w:abstractNumId w:val="27"/>
  </w:num>
  <w:num w:numId="27">
    <w:abstractNumId w:val="3"/>
  </w:num>
  <w:num w:numId="28">
    <w:abstractNumId w:val="12"/>
  </w:num>
  <w:num w:numId="29">
    <w:abstractNumId w:val="23"/>
  </w:num>
  <w:num w:numId="30">
    <w:abstractNumId w:val="17"/>
  </w:num>
  <w:num w:numId="31">
    <w:abstractNumId w:val="13"/>
  </w:num>
  <w:num w:numId="32">
    <w:abstractNumId w:val="28"/>
  </w:num>
  <w:num w:numId="33">
    <w:abstractNumId w:val="30"/>
  </w:num>
  <w:num w:numId="34">
    <w:abstractNumId w:val="24"/>
  </w:num>
  <w:num w:numId="35">
    <w:abstractNumId w:val="1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mirrorMargins/>
  <w:proofState w:spelling="clean" w:grammar="clean"/>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9E"/>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40CF"/>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286"/>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37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771"/>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1A1B"/>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473"/>
    <w:rsid w:val="005706E9"/>
    <w:rsid w:val="00570A90"/>
    <w:rsid w:val="00571828"/>
    <w:rsid w:val="00571A5C"/>
    <w:rsid w:val="00571AD7"/>
    <w:rsid w:val="00572580"/>
    <w:rsid w:val="0057352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1BE"/>
    <w:rsid w:val="005E5AD6"/>
    <w:rsid w:val="005E639B"/>
    <w:rsid w:val="005E69F0"/>
    <w:rsid w:val="005E7617"/>
    <w:rsid w:val="005E787A"/>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299E"/>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011"/>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07B"/>
    <w:rsid w:val="00732F20"/>
    <w:rsid w:val="007339D9"/>
    <w:rsid w:val="00733E98"/>
    <w:rsid w:val="0073482E"/>
    <w:rsid w:val="007355C6"/>
    <w:rsid w:val="00737BD7"/>
    <w:rsid w:val="0074044A"/>
    <w:rsid w:val="007414F9"/>
    <w:rsid w:val="00741746"/>
    <w:rsid w:val="00742D8A"/>
    <w:rsid w:val="00743727"/>
    <w:rsid w:val="0074388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353"/>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6A48"/>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2DB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3B6"/>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A764B"/>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2AE8"/>
    <w:rsid w:val="00C24ED0"/>
    <w:rsid w:val="00C2516C"/>
    <w:rsid w:val="00C25C53"/>
    <w:rsid w:val="00C25FF3"/>
    <w:rsid w:val="00C26ABB"/>
    <w:rsid w:val="00C271FF"/>
    <w:rsid w:val="00C27BB7"/>
    <w:rsid w:val="00C326E1"/>
    <w:rsid w:val="00C34002"/>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4468"/>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54C"/>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3A3"/>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004"/>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0F9A"/>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62"/>
    <w:rsid w:val="00D31C2C"/>
    <w:rsid w:val="00D345C4"/>
    <w:rsid w:val="00D34893"/>
    <w:rsid w:val="00D35C54"/>
    <w:rsid w:val="00D4067F"/>
    <w:rsid w:val="00D40A8C"/>
    <w:rsid w:val="00D417CB"/>
    <w:rsid w:val="00D42396"/>
    <w:rsid w:val="00D43610"/>
    <w:rsid w:val="00D437E8"/>
    <w:rsid w:val="00D438D1"/>
    <w:rsid w:val="00D43C3F"/>
    <w:rsid w:val="00D4521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4A03"/>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6205"/>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3BAE"/>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27DC9"/>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22"/>
    <w:rsid w:val="00FD1AEB"/>
    <w:rsid w:val="00FD23C5"/>
    <w:rsid w:val="00FD24A7"/>
    <w:rsid w:val="00FD2B2C"/>
    <w:rsid w:val="00FD2D7C"/>
    <w:rsid w:val="00FD3679"/>
    <w:rsid w:val="00FD3956"/>
    <w:rsid w:val="00FD5A03"/>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5C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uiPriority w:val="99"/>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22"/>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aliases w:val="List numbered"/>
    <w:basedOn w:val="Normal"/>
    <w:link w:val="ParagraphedelisteCar"/>
    <w:uiPriority w:val="34"/>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aliases w:val="List numbered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UnresolvedMention">
    <w:name w:val="Unresolved Mention"/>
    <w:basedOn w:val="Policepardfaut"/>
    <w:uiPriority w:val="99"/>
    <w:semiHidden/>
    <w:unhideWhenUsed/>
    <w:rsid w:val="00CC43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uiPriority w:val="99"/>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22"/>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aliases w:val="List numbered"/>
    <w:basedOn w:val="Normal"/>
    <w:link w:val="ParagraphedelisteCar"/>
    <w:uiPriority w:val="34"/>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aliases w:val="List numbered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UnresolvedMention">
    <w:name w:val="Unresolved Mention"/>
    <w:basedOn w:val="Policepardfaut"/>
    <w:uiPriority w:val="99"/>
    <w:semiHidden/>
    <w:unhideWhenUsed/>
    <w:rsid w:val="00CC4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1868">
      <w:bodyDiv w:val="1"/>
      <w:marLeft w:val="0"/>
      <w:marRight w:val="0"/>
      <w:marTop w:val="0"/>
      <w:marBottom w:val="0"/>
      <w:divBdr>
        <w:top w:val="none" w:sz="0" w:space="0" w:color="auto"/>
        <w:left w:val="none" w:sz="0" w:space="0" w:color="auto"/>
        <w:bottom w:val="none" w:sz="0" w:space="0" w:color="auto"/>
        <w:right w:val="none" w:sz="0" w:space="0" w:color="auto"/>
      </w:divBdr>
    </w:div>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 w:id="1155339182">
      <w:bodyDiv w:val="1"/>
      <w:marLeft w:val="0"/>
      <w:marRight w:val="0"/>
      <w:marTop w:val="0"/>
      <w:marBottom w:val="0"/>
      <w:divBdr>
        <w:top w:val="none" w:sz="0" w:space="0" w:color="auto"/>
        <w:left w:val="none" w:sz="0" w:space="0" w:color="auto"/>
        <w:bottom w:val="none" w:sz="0" w:space="0" w:color="auto"/>
        <w:right w:val="none" w:sz="0" w:space="0" w:color="auto"/>
      </w:divBdr>
    </w:div>
    <w:div w:id="1242984872">
      <w:bodyDiv w:val="1"/>
      <w:marLeft w:val="0"/>
      <w:marRight w:val="0"/>
      <w:marTop w:val="0"/>
      <w:marBottom w:val="0"/>
      <w:divBdr>
        <w:top w:val="none" w:sz="0" w:space="0" w:color="auto"/>
        <w:left w:val="none" w:sz="0" w:space="0" w:color="auto"/>
        <w:bottom w:val="none" w:sz="0" w:space="0" w:color="auto"/>
        <w:right w:val="none" w:sz="0" w:space="0" w:color="auto"/>
      </w:divBdr>
    </w:div>
    <w:div w:id="200455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ohs.biois.eu/Ex_1c-IV_LC_Questionnaire-1_Clarification.pdf" TargetMode="External"/><Relationship Id="rId3" Type="http://schemas.openxmlformats.org/officeDocument/2006/relationships/hyperlink" Target="https://rohs.biois.eu/Ex_1c-IV_LC_Renewal-Request.pdf" TargetMode="External"/><Relationship Id="rId7" Type="http://schemas.openxmlformats.org/officeDocument/2006/relationships/hyperlink" Target="https://rohs.biois.eu/Ex_1c-IV_JBCE_Questionnaire-1_Clarification.pdf" TargetMode="External"/><Relationship Id="rId2" Type="http://schemas.openxmlformats.org/officeDocument/2006/relationships/hyperlink" Target="https://rohs.biois.eu/Ex_1c-IV_JBCE_Renewal-Request.pdf" TargetMode="External"/><Relationship Id="rId1" Type="http://schemas.openxmlformats.org/officeDocument/2006/relationships/hyperlink" Target="https://rohs.biois.eu/Ex_1c-IV_COCIR_Renewal-Request.pdf" TargetMode="External"/><Relationship Id="rId6" Type="http://schemas.openxmlformats.org/officeDocument/2006/relationships/hyperlink" Target="https://rohs.biois.eu/Ex_1c-IV_COCIR_Questionnaire-1_Clarification.pdf" TargetMode="External"/><Relationship Id="rId11" Type="http://schemas.openxmlformats.org/officeDocument/2006/relationships/hyperlink" Target="http://eur-lex.europa.eu/LexUriServ/LexUriServ.do?uri=CELEX:32011L0065:EN:NOT" TargetMode="External"/><Relationship Id="rId5" Type="http://schemas.openxmlformats.org/officeDocument/2006/relationships/hyperlink" Target="https://rohs.biois.eu/Ex-1c-IV_PPTF_Renewal-Request.pdf" TargetMode="External"/><Relationship Id="rId10" Type="http://schemas.openxmlformats.org/officeDocument/2006/relationships/hyperlink" Target="https://rohs.biois.eu/Ex_1c-IV_PPTF_Questionnaire-1_Clarification.pdf" TargetMode="External"/><Relationship Id="rId4" Type="http://schemas.openxmlformats.org/officeDocument/2006/relationships/hyperlink" Target="https://rohs.biois.eu/Ex_1c-IV_PE_Renewal-Request.pdf" TargetMode="External"/><Relationship Id="rId9" Type="http://schemas.openxmlformats.org/officeDocument/2006/relationships/hyperlink" Target="https://rohs.biois.eu/Ex_1c-IV_PerkinElmer_Questionnaire-1_Clarificatio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4057E-3947-4420-AC35-E5A341F1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1547</Words>
  <Characters>8512</Characters>
  <Application>Microsoft Office Word</Application>
  <DocSecurity>0</DocSecurity>
  <Lines>70</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10039</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Billaud, Mathilde</dc:creator>
  <cp:keywords/>
  <cp:lastModifiedBy>Shailendra Mudgal</cp:lastModifiedBy>
  <cp:revision>10</cp:revision>
  <cp:lastPrinted>2020-07-22T11:37:00Z</cp:lastPrinted>
  <dcterms:created xsi:type="dcterms:W3CDTF">2020-09-17T05:52:00Z</dcterms:created>
  <dcterms:modified xsi:type="dcterms:W3CDTF">2020-09-25T07:51:00Z</dcterms:modified>
</cp:coreProperties>
</file>