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0CFC7" w14:textId="176E2D03" w:rsidR="00082399" w:rsidRPr="00672D1F" w:rsidRDefault="00261090" w:rsidP="00672D1F">
      <w:pPr>
        <w:pStyle w:val="Titre"/>
        <w:rPr>
          <w:rFonts w:ascii="Oswald" w:hAnsi="Oswald"/>
          <w:b w:val="0"/>
          <w:bCs w:val="0"/>
          <w:color w:val="4196C6"/>
        </w:rPr>
      </w:pPr>
      <w:bookmarkStart w:id="0" w:name="_Toc125278732"/>
      <w:r>
        <w:rPr>
          <w:rFonts w:ascii="Oswald" w:hAnsi="Oswald"/>
          <w:b w:val="0"/>
          <w:bCs w:val="0"/>
          <w:color w:val="4196C6"/>
        </w:rPr>
        <w:t>Consultation Questionnaire</w:t>
      </w:r>
      <w:r w:rsidR="00082399" w:rsidRPr="00672D1F">
        <w:rPr>
          <w:rFonts w:ascii="Oswald" w:hAnsi="Oswald"/>
          <w:b w:val="0"/>
          <w:bCs w:val="0"/>
          <w:color w:val="4196C6"/>
        </w:rPr>
        <w:t xml:space="preserve"> Exemption </w:t>
      </w:r>
      <w:r w:rsidR="001105FE" w:rsidRPr="001105FE">
        <w:rPr>
          <w:rFonts w:ascii="Oswald" w:hAnsi="Oswald"/>
          <w:b w:val="0"/>
          <w:bCs w:val="0"/>
          <w:color w:val="4196C6"/>
        </w:rPr>
        <w:t>31a of RoHS Annex IV</w:t>
      </w:r>
    </w:p>
    <w:p w14:paraId="4C387B18" w14:textId="5AB02B59" w:rsidR="00CF4E34" w:rsidRPr="00CF4E34" w:rsidRDefault="00CF4E34" w:rsidP="009F5D18">
      <w:pPr>
        <w:pStyle w:val="Citationintense"/>
        <w:rPr>
          <w:i w:val="0"/>
        </w:rPr>
      </w:pPr>
      <w:r w:rsidRPr="00CF4E34">
        <w:rPr>
          <w:i w:val="0"/>
        </w:rPr>
        <w:t>Current wording of the exemption:</w:t>
      </w:r>
    </w:p>
    <w:p w14:paraId="33E8ED7E" w14:textId="26169AAC" w:rsidR="001105FE" w:rsidRDefault="001105FE" w:rsidP="009F5D18">
      <w:pPr>
        <w:pStyle w:val="Citationintense"/>
      </w:pPr>
      <w:r w:rsidRPr="001105FE">
        <w:t>Lead, cadmium, hexavalent chromium, and polybrominated diphenyl ethers (PBDE) in spare parts recovered from and used for the repair or refurbishment of medical devices, including in vitro diagnostic medical devices, or electron microscopes and their accessories, provided that the reuse takes place in auditable closed-loop business-to-business return systems and that each reuse of parts is notified to the customer.</w:t>
      </w:r>
    </w:p>
    <w:p w14:paraId="1C16F051" w14:textId="21ED13A0" w:rsidR="00A019C0" w:rsidRPr="002F3B76" w:rsidRDefault="00CF4E34" w:rsidP="009F5D18">
      <w:pPr>
        <w:pStyle w:val="Citationintense"/>
        <w:rPr>
          <w:i w:val="0"/>
        </w:rPr>
      </w:pPr>
      <w:r w:rsidRPr="002F3B76">
        <w:rPr>
          <w:i w:val="0"/>
        </w:rPr>
        <w:t xml:space="preserve">Expires on 21 July 2021 for </w:t>
      </w:r>
      <w:proofErr w:type="spellStart"/>
      <w:r w:rsidRPr="002F3B76">
        <w:rPr>
          <w:i w:val="0"/>
        </w:rPr>
        <w:t>categegory</w:t>
      </w:r>
      <w:proofErr w:type="spellEnd"/>
      <w:r w:rsidRPr="002F3B76">
        <w:rPr>
          <w:i w:val="0"/>
        </w:rPr>
        <w:t xml:space="preserve"> 8 and 9 equipment other than in-vitro diagnostics and industrial monitoring and control instruments. </w:t>
      </w:r>
    </w:p>
    <w:bookmarkEnd w:id="0"/>
    <w:p w14:paraId="62462CE0" w14:textId="77777777" w:rsidR="00672D1F" w:rsidRPr="00672D1F" w:rsidRDefault="00672D1F" w:rsidP="00672D1F">
      <w:pPr>
        <w:pStyle w:val="Titre1"/>
        <w:rPr>
          <w:rStyle w:val="Standard1"/>
          <w:rFonts w:ascii="Open Sans" w:hAnsi="Open Sans" w:cs="Open Sans"/>
          <w:lang w:val="fr-FR" w:eastAsia="fr-FR"/>
        </w:rPr>
      </w:pPr>
      <w:r w:rsidRPr="00672D1F">
        <w:rPr>
          <w:rStyle w:val="Standard1"/>
          <w:rFonts w:ascii="Open Sans" w:hAnsi="Open Sans" w:cs="Open Sans"/>
          <w:lang w:val="fr-FR" w:eastAsia="fr-FR"/>
        </w:rPr>
        <w:t>Background</w:t>
      </w:r>
    </w:p>
    <w:p w14:paraId="39347E11"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Appelnotedebasdep"/>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DD53336" w14:textId="005929EE" w:rsidR="00672D1F" w:rsidRPr="00672D1F" w:rsidRDefault="001105FE" w:rsidP="00672D1F">
      <w:pPr>
        <w:rPr>
          <w:rStyle w:val="Standard1"/>
          <w:rFonts w:ascii="Open Sans" w:hAnsi="Open Sans" w:cs="Open Sans"/>
          <w:lang w:eastAsia="fr-FR"/>
        </w:rPr>
      </w:pPr>
      <w:r>
        <w:rPr>
          <w:rStyle w:val="Standard1"/>
          <w:rFonts w:ascii="Open Sans" w:hAnsi="Open Sans" w:cs="Open Sans"/>
          <w:lang w:eastAsia="fr-FR"/>
        </w:rPr>
        <w:t>COCIR</w:t>
      </w:r>
      <w:r w:rsidR="00672D1F" w:rsidRPr="00672D1F">
        <w:rPr>
          <w:rStyle w:val="Standard1"/>
          <w:rFonts w:ascii="Open Sans" w:hAnsi="Open Sans" w:cs="Open Sans"/>
          <w:lang w:eastAsia="fr-FR"/>
        </w:rPr>
        <w:t xml:space="preserve"> has submitted a request</w:t>
      </w:r>
      <w:bookmarkStart w:id="1" w:name="_Ref50021756"/>
      <w:r w:rsidR="00672D1F">
        <w:rPr>
          <w:rStyle w:val="Appelnotedebasdep"/>
          <w:rFonts w:cs="Open Sans"/>
        </w:rPr>
        <w:footnoteReference w:id="3"/>
      </w:r>
      <w:bookmarkEnd w:id="1"/>
      <w:r w:rsidR="00672D1F" w:rsidRPr="00672D1F">
        <w:rPr>
          <w:rStyle w:val="Standard1"/>
          <w:rFonts w:ascii="Open Sans" w:hAnsi="Open Sans" w:cs="Open Sans"/>
          <w:lang w:eastAsia="fr-FR"/>
        </w:rPr>
        <w:t xml:space="preserve"> for the continuation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Appelnotedebasdep"/>
          <w:rFonts w:cs="Open Sans"/>
        </w:rPr>
        <w:footnoteReference w:id="4"/>
      </w:r>
      <w:r w:rsidR="00672D1F" w:rsidRPr="00672D1F">
        <w:rPr>
          <w:rStyle w:val="Standard1"/>
          <w:rFonts w:ascii="Open Sans" w:hAnsi="Open Sans" w:cs="Open Sans"/>
          <w:lang w:eastAsia="fr-FR"/>
        </w:rPr>
        <w:t xml:space="preserve">  </w:t>
      </w:r>
    </w:p>
    <w:p w14:paraId="7A58B615" w14:textId="2695E0C6" w:rsidR="001105FE" w:rsidRDefault="001105FE" w:rsidP="00672D1F">
      <w:pPr>
        <w:rPr>
          <w:rStyle w:val="Standard1"/>
          <w:rFonts w:ascii="Open Sans" w:hAnsi="Open Sans" w:cs="Open Sans"/>
          <w:lang w:eastAsia="fr-FR"/>
        </w:rPr>
      </w:pPr>
      <w:r>
        <w:rPr>
          <w:rStyle w:val="Standard1"/>
          <w:rFonts w:ascii="Open Sans" w:hAnsi="Open Sans" w:cs="Open Sans"/>
          <w:lang w:eastAsia="fr-FR"/>
        </w:rPr>
        <w:t xml:space="preserve">COCIR requested the </w:t>
      </w:r>
      <w:r w:rsidR="00CF4E34">
        <w:rPr>
          <w:rStyle w:val="Standard1"/>
          <w:rFonts w:ascii="Open Sans" w:hAnsi="Open Sans" w:cs="Open Sans"/>
          <w:lang w:eastAsia="fr-FR"/>
        </w:rPr>
        <w:t>renewal of the exemption for seven years with the same wording and scope like the current exemption (see above)</w:t>
      </w:r>
      <w:r w:rsidR="00A31FAF">
        <w:rPr>
          <w:rStyle w:val="Standard1"/>
          <w:rFonts w:ascii="Open Sans" w:hAnsi="Open Sans" w:cs="Open Sans"/>
          <w:lang w:eastAsia="fr-FR"/>
        </w:rPr>
        <w:fldChar w:fldCharType="begin"/>
      </w:r>
      <w:r w:rsidR="00A31FAF">
        <w:rPr>
          <w:rStyle w:val="Standard1"/>
          <w:rFonts w:ascii="Open Sans" w:hAnsi="Open Sans" w:cs="Open Sans"/>
          <w:lang w:eastAsia="fr-FR"/>
        </w:rPr>
        <w:instrText xml:space="preserve"> NOTEREF _Ref50021756 \f \h </w:instrText>
      </w:r>
      <w:r w:rsidR="00A31FAF">
        <w:rPr>
          <w:rStyle w:val="Standard1"/>
          <w:rFonts w:ascii="Open Sans" w:hAnsi="Open Sans" w:cs="Open Sans"/>
          <w:lang w:eastAsia="fr-FR"/>
        </w:rPr>
        <w:fldChar w:fldCharType="separate"/>
      </w:r>
      <w:r w:rsidR="00A31FAF" w:rsidRPr="00A31FAF">
        <w:rPr>
          <w:rStyle w:val="Appelnotedebasdep"/>
        </w:rPr>
        <w:t>2</w:t>
      </w:r>
      <w:r w:rsidR="00A31FAF">
        <w:rPr>
          <w:rStyle w:val="Standard1"/>
          <w:rFonts w:ascii="Open Sans" w:hAnsi="Open Sans" w:cs="Open Sans"/>
          <w:lang w:eastAsia="fr-FR"/>
        </w:rPr>
        <w:fldChar w:fldCharType="end"/>
      </w:r>
    </w:p>
    <w:p w14:paraId="6D65EC44" w14:textId="08239E71" w:rsidR="001105FE" w:rsidRPr="009D157A" w:rsidRDefault="001105FE" w:rsidP="00A31FAF">
      <w:pPr>
        <w:ind w:left="720"/>
        <w:rPr>
          <w:rFonts w:cs="Open Sans"/>
          <w:i/>
          <w:lang w:val="en-US"/>
        </w:rPr>
      </w:pPr>
      <w:r w:rsidRPr="009D157A">
        <w:rPr>
          <w:rFonts w:cs="Open Sans"/>
          <w:bCs/>
          <w:i/>
          <w:lang w:val="en-US"/>
        </w:rPr>
        <w:t xml:space="preserve">Lead, cadmium, hexavalent chromium, and </w:t>
      </w:r>
      <w:proofErr w:type="spellStart"/>
      <w:r w:rsidRPr="009D157A">
        <w:rPr>
          <w:rFonts w:cs="Open Sans"/>
          <w:bCs/>
          <w:i/>
          <w:lang w:val="en-US"/>
        </w:rPr>
        <w:t>deca</w:t>
      </w:r>
      <w:proofErr w:type="spellEnd"/>
      <w:r w:rsidRPr="009D157A">
        <w:rPr>
          <w:rFonts w:cs="Open Sans"/>
          <w:bCs/>
          <w:i/>
          <w:lang w:val="en-US"/>
        </w:rPr>
        <w:t>-brominated diphenyl ethers (</w:t>
      </w:r>
      <w:proofErr w:type="spellStart"/>
      <w:r w:rsidRPr="009D157A">
        <w:rPr>
          <w:rFonts w:cs="Open Sans"/>
          <w:bCs/>
          <w:i/>
          <w:lang w:val="en-US"/>
        </w:rPr>
        <w:t>deca</w:t>
      </w:r>
      <w:proofErr w:type="spellEnd"/>
      <w:r w:rsidRPr="009D157A">
        <w:rPr>
          <w:rFonts w:cs="Open Sans"/>
          <w:bCs/>
          <w:i/>
          <w:lang w:val="en-US"/>
        </w:rPr>
        <w:t>-BDE) in spare parts recovered from and used for the repair or refurbishment of medical devices, including in vitro diagnostic medical devices, or electron microscopes and their accessories, provided that the reuse takes place in auditable closed-loop business-to-business return systems and that each reuse of parts is notified to the customer.</w:t>
      </w:r>
    </w:p>
    <w:p w14:paraId="7A25E7CF" w14:textId="77777777" w:rsidR="001105FE" w:rsidRPr="00A31FAF" w:rsidRDefault="001105FE" w:rsidP="00A31FAF">
      <w:pPr>
        <w:ind w:left="720"/>
        <w:rPr>
          <w:rFonts w:cs="Open Sans"/>
          <w:lang w:val="de-DE"/>
        </w:rPr>
      </w:pPr>
      <w:proofErr w:type="spellStart"/>
      <w:r w:rsidRPr="00A31FAF">
        <w:rPr>
          <w:rFonts w:cs="Open Sans"/>
          <w:bCs/>
          <w:lang w:val="de-DE"/>
        </w:rPr>
        <w:t>Expires</w:t>
      </w:r>
      <w:proofErr w:type="spellEnd"/>
      <w:r w:rsidRPr="00A31FAF">
        <w:rPr>
          <w:rFonts w:cs="Open Sans"/>
          <w:bCs/>
          <w:lang w:val="de-DE"/>
        </w:rPr>
        <w:t xml:space="preserve"> on:</w:t>
      </w:r>
    </w:p>
    <w:p w14:paraId="1B3ADAD3" w14:textId="77777777" w:rsidR="001105FE" w:rsidRPr="00A31FAF" w:rsidRDefault="001105FE" w:rsidP="00A31FAF">
      <w:pPr>
        <w:numPr>
          <w:ilvl w:val="0"/>
          <w:numId w:val="36"/>
        </w:numPr>
        <w:ind w:left="720"/>
        <w:rPr>
          <w:rFonts w:cs="Open Sans"/>
          <w:lang w:val="en-US"/>
        </w:rPr>
      </w:pPr>
      <w:r w:rsidRPr="00A31FAF">
        <w:rPr>
          <w:rFonts w:cs="Open Sans"/>
          <w:bCs/>
          <w:lang w:val="en-US"/>
        </w:rPr>
        <w:t>(a)21 July 2028 for the use in medical devices other than in vitro diagnostic medical devices;</w:t>
      </w:r>
    </w:p>
    <w:p w14:paraId="6D862FAA" w14:textId="45097229" w:rsidR="001105FE" w:rsidRPr="00A31FAF" w:rsidRDefault="001105FE" w:rsidP="00A31FAF">
      <w:pPr>
        <w:numPr>
          <w:ilvl w:val="0"/>
          <w:numId w:val="37"/>
        </w:numPr>
        <w:ind w:left="720"/>
        <w:rPr>
          <w:rStyle w:val="Standard1"/>
          <w:rFonts w:ascii="Open Sans" w:hAnsi="Open Sans" w:cs="Open Sans"/>
          <w:lang w:val="en-US" w:eastAsia="fr-FR"/>
        </w:rPr>
      </w:pPr>
      <w:r w:rsidRPr="00A31FAF">
        <w:rPr>
          <w:rFonts w:cs="Open Sans"/>
          <w:bCs/>
          <w:lang w:val="en-US"/>
        </w:rPr>
        <w:t>(b)21 July 2030 for the use in vitro diagnostic medical devices</w:t>
      </w:r>
    </w:p>
    <w:p w14:paraId="4BEA6748" w14:textId="6C8FD419" w:rsidR="00A31FAF" w:rsidRDefault="00A31FAF" w:rsidP="00A31FAF">
      <w:pPr>
        <w:rPr>
          <w:rStyle w:val="Standard1"/>
          <w:rFonts w:ascii="Open Sans" w:hAnsi="Open Sans" w:cs="Open Sans"/>
          <w:lang w:eastAsia="fr-FR"/>
        </w:rPr>
      </w:pPr>
      <w:r>
        <w:rPr>
          <w:rStyle w:val="Standard1"/>
          <w:rFonts w:ascii="Open Sans" w:hAnsi="Open Sans" w:cs="Open Sans"/>
          <w:lang w:eastAsia="fr-FR"/>
        </w:rPr>
        <w:t xml:space="preserve">The applicant summarizes the request as follows: </w:t>
      </w:r>
    </w:p>
    <w:p w14:paraId="3D590F05" w14:textId="225880CF" w:rsidR="00A31FAF" w:rsidRPr="00CF4E34" w:rsidRDefault="009D157A" w:rsidP="00A31FAF">
      <w:pPr>
        <w:ind w:left="720"/>
        <w:rPr>
          <w:rFonts w:cs="Open Sans"/>
          <w:i/>
          <w:lang w:val="en-US"/>
        </w:rPr>
      </w:pPr>
      <w:r>
        <w:rPr>
          <w:rFonts w:cs="Open Sans"/>
          <w:i/>
          <w:lang w:val="en-US"/>
        </w:rPr>
        <w:t>“</w:t>
      </w:r>
      <w:r w:rsidR="00A31FAF" w:rsidRPr="00CF4E34">
        <w:rPr>
          <w:rFonts w:cs="Open Sans"/>
          <w:i/>
          <w:lang w:val="en-US"/>
        </w:rPr>
        <w:t xml:space="preserve">Medical devices are frequently refurbished by the original manufacturer for reuse after they have been used by first users. Many refurbished medical devices are sold in the EU as EU hospitals have </w:t>
      </w:r>
      <w:r w:rsidR="00A31FAF" w:rsidRPr="00CF4E34">
        <w:rPr>
          <w:rFonts w:cs="Open Sans"/>
          <w:i/>
          <w:lang w:val="en-US"/>
        </w:rPr>
        <w:lastRenderedPageBreak/>
        <w:t xml:space="preserve">limited budgets and refurbished equipment provides the capability that they need and the lower prices allows hospitals to buy additional medical equipment and therefore offer a better healthcare to patients. Refurbishment uses recovered spare parts (which have also been refurbished themselves) as using new parts is not an option because they are no longer produced. Recovered and refurbished parts are also reused as spare parts for repair and maintenance of the installed base in the EU. Reuse of only some parts is permitted by RoHS without exemption 31a so that without this exemption, reused parts cannot be used in the EU as it is not possible to know if the part is covered by an exclusion or not. </w:t>
      </w:r>
    </w:p>
    <w:p w14:paraId="6EE4FA4C" w14:textId="0163510D" w:rsidR="00A31FAF" w:rsidRPr="00CF4E34" w:rsidRDefault="00A31FAF" w:rsidP="00A31FAF">
      <w:pPr>
        <w:ind w:left="720"/>
        <w:rPr>
          <w:rStyle w:val="Standard1"/>
          <w:rFonts w:ascii="Open Sans" w:hAnsi="Open Sans" w:cs="Open Sans"/>
          <w:i/>
          <w:lang w:eastAsia="fr-FR"/>
        </w:rPr>
      </w:pPr>
      <w:r w:rsidRPr="00CF4E34">
        <w:rPr>
          <w:rFonts w:cs="Open Sans"/>
          <w:i/>
          <w:lang w:val="en-US"/>
        </w:rPr>
        <w:t>Reuse of parts is always preferable to disposal as waste and manufacture of a replacement part. The overall health and environmental impact of reuse is shown, using life cycle assessments, to be significantly smaller than the overall impacts from disposal of parts as waste and manufacture of a replacement parts. There are also qualitative human health impacts, if limitations occur for the refurbishment market. Delays in hospitals being not able to afford new replacement equipment mean that old less reliable equipment has to be used for a longer time, or delays to treatment would be caused, if bigger upgrades (including making new replacement parts) would need to be performed, because adequate spare parts are not available.</w:t>
      </w:r>
      <w:r w:rsidR="009D157A">
        <w:rPr>
          <w:rFonts w:cs="Open Sans"/>
          <w:i/>
          <w:lang w:val="en-US"/>
        </w:rPr>
        <w:t>”</w:t>
      </w:r>
    </w:p>
    <w:p w14:paraId="79A44B24"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Appelnotedebasdep"/>
          <w:rFonts w:cs="Open Sans"/>
        </w:rPr>
        <w:footnoteReference w:id="5"/>
      </w:r>
      <w:r w:rsidRPr="00672D1F">
        <w:rPr>
          <w:rStyle w:val="Standard1"/>
          <w:rFonts w:ascii="Open Sans" w:hAnsi="Open Sans" w:cs="Open Sans"/>
          <w:lang w:eastAsia="fr-FR"/>
        </w:rPr>
        <w:t xml:space="preserve"> </w:t>
      </w:r>
    </w:p>
    <w:p w14:paraId="2EE39D63" w14:textId="32382544"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w:t>
      </w:r>
      <w:r w:rsidR="00B67DD1" w:rsidRPr="00B67DD1">
        <w:rPr>
          <w:rStyle w:val="Standard1"/>
          <w:rFonts w:ascii="Open Sans" w:hAnsi="Open Sans" w:cs="Open Sans"/>
          <w:lang w:eastAsia="fr-FR"/>
        </w:rPr>
        <w:t xml:space="preserve">the questions below by </w:t>
      </w:r>
      <w:r w:rsidR="00360A45" w:rsidRPr="00360A45">
        <w:rPr>
          <w:rStyle w:val="Standard1"/>
          <w:rFonts w:ascii="Open Sans" w:hAnsi="Open Sans" w:cs="Open Sans"/>
          <w:lang w:eastAsia="fr-FR"/>
        </w:rPr>
        <w:t>December 2nd,</w:t>
      </w:r>
      <w:bookmarkStart w:id="2" w:name="_GoBack"/>
      <w:bookmarkEnd w:id="2"/>
      <w:r w:rsidR="00B67DD1" w:rsidRPr="00B67DD1">
        <w:rPr>
          <w:rStyle w:val="Standard1"/>
          <w:rFonts w:ascii="Open Sans" w:hAnsi="Open Sans" w:cs="Open Sans"/>
          <w:lang w:eastAsia="fr-FR"/>
        </w:rPr>
        <w:t xml:space="preserve"> 2020.</w:t>
      </w:r>
    </w:p>
    <w:p w14:paraId="6D19BBCC" w14:textId="77777777" w:rsidR="00672D1F" w:rsidRPr="009F5D18" w:rsidRDefault="00672D1F" w:rsidP="00D05732">
      <w:pPr>
        <w:pStyle w:val="Titre1"/>
        <w:rPr>
          <w:rStyle w:val="Standard1"/>
          <w:rFonts w:ascii="Open Sans" w:hAnsi="Open Sans" w:cs="Open Sans"/>
          <w:lang w:eastAsia="fr-FR"/>
        </w:rPr>
      </w:pPr>
      <w:r w:rsidRPr="009F5D18">
        <w:rPr>
          <w:rStyle w:val="Standard1"/>
          <w:rFonts w:ascii="Open Sans" w:hAnsi="Open Sans" w:cs="Open Sans"/>
          <w:lang w:eastAsia="fr-FR"/>
        </w:rPr>
        <w:t>Questions</w:t>
      </w:r>
    </w:p>
    <w:p w14:paraId="0F468357" w14:textId="56DAB68F"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The applicant has requested the renewal of exemption </w:t>
      </w:r>
      <w:r w:rsidR="00A31FAF">
        <w:rPr>
          <w:rStyle w:val="Standard1"/>
          <w:rFonts w:ascii="Open Sans" w:hAnsi="Open Sans" w:cs="Open Sans"/>
          <w:lang w:eastAsia="fr-FR"/>
        </w:rPr>
        <w:t>31a</w:t>
      </w:r>
      <w:r w:rsidRPr="00672D1F">
        <w:rPr>
          <w:rStyle w:val="Standard1"/>
          <w:rFonts w:ascii="Open Sans" w:hAnsi="Open Sans" w:cs="Open Sans"/>
          <w:lang w:eastAsia="fr-FR"/>
        </w:rPr>
        <w:t xml:space="preserve"> of RoHS Annex IV with the </w:t>
      </w:r>
      <w:r w:rsidR="00A31FAF">
        <w:rPr>
          <w:rStyle w:val="Standard1"/>
          <w:rFonts w:ascii="Open Sans" w:hAnsi="Open Sans" w:cs="Open Sans"/>
          <w:lang w:eastAsia="fr-FR"/>
        </w:rPr>
        <w:t>above-cited</w:t>
      </w:r>
      <w:r w:rsidRPr="00672D1F">
        <w:rPr>
          <w:rStyle w:val="Standard1"/>
          <w:rFonts w:ascii="Open Sans" w:hAnsi="Open Sans" w:cs="Open Sans"/>
          <w:lang w:eastAsia="fr-FR"/>
        </w:rPr>
        <w:t xml:space="preserve"> </w:t>
      </w:r>
      <w:r w:rsidR="00A31FAF">
        <w:rPr>
          <w:rStyle w:val="Standard1"/>
          <w:rFonts w:ascii="Open Sans" w:hAnsi="Open Sans" w:cs="Open Sans"/>
          <w:lang w:eastAsia="fr-FR"/>
        </w:rPr>
        <w:t>wording.</w:t>
      </w:r>
    </w:p>
    <w:p w14:paraId="1F294865" w14:textId="77777777"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0DCB0F7B"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2C6F7D51" w14:textId="77777777" w:rsidR="00CF4E34" w:rsidRDefault="00CF4E34" w:rsidP="00CF4E34">
      <w:pPr>
        <w:ind w:left="720"/>
        <w:rPr>
          <w:rStyle w:val="Standard1"/>
          <w:rFonts w:ascii="Open Sans" w:hAnsi="Open Sans" w:cs="Open Sans"/>
          <w:lang w:eastAsia="fr-FR"/>
        </w:rPr>
      </w:pPr>
    </w:p>
    <w:p w14:paraId="56ABA66C" w14:textId="7A190205" w:rsidR="00672D1F" w:rsidRPr="00672D1F" w:rsidRDefault="00672D1F" w:rsidP="00CF4E34">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121C519B"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63736F03"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5E76BFC6"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lastRenderedPageBreak/>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0CA7E82C" w14:textId="3654443B" w:rsid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37615B45" w14:textId="77777777" w:rsidR="00CF4E34" w:rsidRPr="00672D1F" w:rsidRDefault="00CF4E34" w:rsidP="00CF4E34">
      <w:pPr>
        <w:rPr>
          <w:rStyle w:val="Standard1"/>
          <w:rFonts w:ascii="Open Sans" w:hAnsi="Open Sans" w:cs="Open Sans"/>
          <w:lang w:eastAsia="fr-FR"/>
        </w:rPr>
      </w:pPr>
    </w:p>
    <w:p w14:paraId="4E4B716C" w14:textId="08ED4482" w:rsidR="008545B3" w:rsidRDefault="00CF4E34" w:rsidP="00CF4E34">
      <w:pPr>
        <w:numPr>
          <w:ilvl w:val="0"/>
          <w:numId w:val="33"/>
        </w:numPr>
        <w:rPr>
          <w:rStyle w:val="Standard1"/>
          <w:rFonts w:ascii="Open Sans" w:hAnsi="Open Sans" w:cs="Open Sans"/>
          <w:lang w:eastAsia="fr-FR"/>
        </w:rPr>
      </w:pPr>
      <w:r>
        <w:rPr>
          <w:rStyle w:val="Standard1"/>
          <w:rFonts w:ascii="Open Sans" w:hAnsi="Open Sans" w:cs="Open Sans"/>
          <w:lang w:eastAsia="fr-FR"/>
        </w:rPr>
        <w:t>Is there any other information which you would like to provide?</w:t>
      </w:r>
    </w:p>
    <w:p w14:paraId="1169DB70" w14:textId="77777777" w:rsidR="00CF4E34" w:rsidRDefault="00CF4E34" w:rsidP="00CF4E34">
      <w:pPr>
        <w:rPr>
          <w:rStyle w:val="Standard1"/>
          <w:rFonts w:ascii="Open Sans" w:hAnsi="Open Sans" w:cs="Open Sans"/>
          <w:lang w:eastAsia="fr-FR"/>
        </w:rPr>
      </w:pPr>
    </w:p>
    <w:p w14:paraId="3F4B2DD3" w14:textId="77777777" w:rsidR="00672D1F" w:rsidRPr="00CF4E34" w:rsidRDefault="00672D1F" w:rsidP="00672D1F">
      <w:pPr>
        <w:rPr>
          <w:rStyle w:val="Standard1"/>
          <w:rFonts w:ascii="Open Sans" w:hAnsi="Open Sans" w:cs="Open Sans"/>
          <w:b/>
          <w:lang w:eastAsia="fr-FR"/>
        </w:rPr>
      </w:pPr>
      <w:r w:rsidRPr="00CF4E34">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4229DF94" w14:textId="77777777" w:rsidR="00EE7D6A" w:rsidRPr="00CF4E34" w:rsidRDefault="00672D1F" w:rsidP="00672D1F">
      <w:pPr>
        <w:rPr>
          <w:rStyle w:val="Standard1"/>
          <w:rFonts w:ascii="Open Sans" w:hAnsi="Open Sans" w:cs="Open Sans"/>
          <w:b/>
          <w:lang w:eastAsia="fr-FR"/>
        </w:rPr>
      </w:pPr>
      <w:r w:rsidRPr="00CF4E34">
        <w:rPr>
          <w:rStyle w:val="Standard1"/>
          <w:rFonts w:ascii="Open Sans" w:hAnsi="Open Sans" w:cs="Open Sans"/>
          <w:b/>
          <w:lang w:eastAsia="fr-FR"/>
        </w:rPr>
        <w:t xml:space="preserve">Please do not forget to provide your contact details (Name, Organisation, e-mail and phone number) so that </w:t>
      </w:r>
      <w:r w:rsidR="00D05732" w:rsidRPr="00CF4E34">
        <w:rPr>
          <w:rStyle w:val="Standard1"/>
          <w:rFonts w:ascii="Open Sans" w:hAnsi="Open Sans" w:cs="Open Sans"/>
          <w:b/>
          <w:lang w:eastAsia="fr-FR"/>
        </w:rPr>
        <w:t xml:space="preserve">the project team </w:t>
      </w:r>
      <w:r w:rsidRPr="00CF4E34">
        <w:rPr>
          <w:rStyle w:val="Standard1"/>
          <w:rFonts w:ascii="Open Sans" w:hAnsi="Open Sans" w:cs="Open Sans"/>
          <w:b/>
          <w:lang w:eastAsia="fr-FR"/>
        </w:rPr>
        <w:t>can contact you in case there are questions concerning your contribution.</w:t>
      </w:r>
    </w:p>
    <w:sectPr w:rsidR="00EE7D6A" w:rsidRPr="00CF4E34"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577B5" w14:textId="77777777" w:rsidR="00FB5A06" w:rsidRDefault="00FB5A06" w:rsidP="00AA6F34">
      <w:pPr>
        <w:spacing w:before="0" w:line="240" w:lineRule="auto"/>
        <w:rPr>
          <w:rFonts w:cs="Times New Roman"/>
        </w:rPr>
      </w:pPr>
      <w:r>
        <w:rPr>
          <w:rFonts w:cs="Times New Roman"/>
        </w:rPr>
        <w:separator/>
      </w:r>
    </w:p>
  </w:endnote>
  <w:endnote w:type="continuationSeparator" w:id="0">
    <w:p w14:paraId="169876A1" w14:textId="77777777" w:rsidR="00FB5A06" w:rsidRDefault="00FB5A06"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1CE4881D" w14:textId="77777777" w:rsidTr="00CF0A01">
      <w:trPr>
        <w:jc w:val="center"/>
      </w:trPr>
      <w:tc>
        <w:tcPr>
          <w:tcW w:w="1415" w:type="dxa"/>
          <w:shd w:val="clear" w:color="auto" w:fill="auto"/>
        </w:tcPr>
        <w:p w14:paraId="6EA01E86" w14:textId="57D76FDD" w:rsidR="00D05732" w:rsidRPr="00082399" w:rsidRDefault="005A44D5"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4E1E5FF" wp14:editId="52E9365D">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FBFDB6A"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4E51382A" w14:textId="17038683"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360A45">
            <w:rPr>
              <w:noProof/>
              <w:color w:val="4196C6"/>
              <w:sz w:val="18"/>
              <w:szCs w:val="18"/>
              <w:lang w:val="en-US"/>
            </w:rPr>
            <w:t>2</w:t>
          </w:r>
          <w:r w:rsidRPr="00082399">
            <w:rPr>
              <w:color w:val="4196C6"/>
              <w:sz w:val="18"/>
              <w:szCs w:val="18"/>
              <w:lang w:val="fr-FR"/>
            </w:rPr>
            <w:fldChar w:fldCharType="end"/>
          </w:r>
        </w:p>
      </w:tc>
    </w:tr>
  </w:tbl>
  <w:p w14:paraId="064686BF"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B06C82" w:rsidRPr="00082399" w14:paraId="34132C70" w14:textId="77777777" w:rsidTr="009E6D2E">
      <w:trPr>
        <w:jc w:val="center"/>
      </w:trPr>
      <w:tc>
        <w:tcPr>
          <w:tcW w:w="1415" w:type="dxa"/>
          <w:shd w:val="clear" w:color="auto" w:fill="auto"/>
        </w:tcPr>
        <w:p w14:paraId="0CADCA4B" w14:textId="77777777" w:rsidR="00B06C82" w:rsidRPr="00082399" w:rsidRDefault="00B06C82" w:rsidP="00B06C8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5E9C9BD4" wp14:editId="3912F75F">
                <wp:extent cx="600075" cy="25717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236483C" w14:textId="77777777" w:rsidR="00B06C82" w:rsidRPr="00082399" w:rsidRDefault="00B06C82" w:rsidP="00B06C8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77DE6FB" w14:textId="77777777" w:rsidR="00B06C82" w:rsidRPr="00082399" w:rsidRDefault="00B06C82" w:rsidP="00B06C8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360A45">
            <w:rPr>
              <w:noProof/>
              <w:color w:val="4196C6"/>
              <w:sz w:val="18"/>
              <w:szCs w:val="18"/>
              <w:lang w:val="en-US"/>
            </w:rPr>
            <w:t>3</w:t>
          </w:r>
          <w:r w:rsidRPr="00082399">
            <w:rPr>
              <w:color w:val="4196C6"/>
              <w:sz w:val="18"/>
              <w:szCs w:val="18"/>
              <w:lang w:val="fr-FR"/>
            </w:rPr>
            <w:fldChar w:fldCharType="end"/>
          </w:r>
        </w:p>
      </w:tc>
    </w:tr>
  </w:tbl>
  <w:p w14:paraId="5399E751"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2F995F82" w14:textId="77777777" w:rsidTr="00811C2B">
      <w:trPr>
        <w:jc w:val="center"/>
      </w:trPr>
      <w:tc>
        <w:tcPr>
          <w:tcW w:w="1415" w:type="dxa"/>
          <w:shd w:val="clear" w:color="auto" w:fill="auto"/>
        </w:tcPr>
        <w:p w14:paraId="42904A42" w14:textId="34E08AD2" w:rsidR="00807583" w:rsidRPr="00082399" w:rsidRDefault="005A44D5"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00E6D3D1" wp14:editId="138A1F54">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347D8C43"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4F7AA85A" w14:textId="41507BFB"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360A45">
            <w:rPr>
              <w:noProof/>
              <w:color w:val="4196C6"/>
              <w:sz w:val="18"/>
              <w:szCs w:val="18"/>
              <w:lang w:val="en-US"/>
            </w:rPr>
            <w:t>1</w:t>
          </w:r>
          <w:r w:rsidRPr="00082399">
            <w:rPr>
              <w:color w:val="4196C6"/>
              <w:sz w:val="18"/>
              <w:szCs w:val="18"/>
              <w:lang w:val="fr-FR"/>
            </w:rPr>
            <w:fldChar w:fldCharType="end"/>
          </w:r>
        </w:p>
      </w:tc>
    </w:tr>
  </w:tbl>
  <w:p w14:paraId="29F1DDC3"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5978C" w14:textId="77777777" w:rsidR="00FB5A06" w:rsidRDefault="00FB5A06" w:rsidP="00AA6F34">
      <w:pPr>
        <w:spacing w:before="0" w:line="240" w:lineRule="auto"/>
        <w:rPr>
          <w:rFonts w:cs="Times New Roman"/>
        </w:rPr>
      </w:pPr>
      <w:r>
        <w:rPr>
          <w:rFonts w:cs="Times New Roman"/>
        </w:rPr>
        <w:separator/>
      </w:r>
    </w:p>
  </w:footnote>
  <w:footnote w:type="continuationSeparator" w:id="0">
    <w:p w14:paraId="3E606556" w14:textId="77777777" w:rsidR="00FB5A06" w:rsidRDefault="00FB5A06" w:rsidP="00AA6F34">
      <w:pPr>
        <w:spacing w:before="0" w:line="240" w:lineRule="auto"/>
        <w:rPr>
          <w:rFonts w:cs="Times New Roman"/>
        </w:rPr>
      </w:pPr>
      <w:r>
        <w:rPr>
          <w:rFonts w:cs="Times New Roman"/>
        </w:rPr>
        <w:continuationSeparator/>
      </w:r>
    </w:p>
  </w:footnote>
  <w:footnote w:type="continuationNotice" w:id="1">
    <w:p w14:paraId="43310A5A" w14:textId="77777777" w:rsidR="00FB5A06" w:rsidRDefault="00FB5A06">
      <w:pPr>
        <w:spacing w:before="0" w:line="240" w:lineRule="auto"/>
        <w:rPr>
          <w:rFonts w:cs="Times New Roman"/>
        </w:rPr>
      </w:pPr>
    </w:p>
  </w:footnote>
  <w:footnote w:id="2">
    <w:p w14:paraId="3258ACE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0EEEDC30" w14:textId="45357677"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A61A6A" w:rsidRPr="0097007A">
          <w:rPr>
            <w:rStyle w:val="Lienhypertexte"/>
          </w:rPr>
          <w:t>https://rohs.biois.eu/Ex_31a-IV_COCIR_Renewal-Request.pdf</w:t>
        </w:r>
      </w:hyperlink>
      <w:r w:rsidR="00A61A6A">
        <w:t xml:space="preserve"> </w:t>
      </w:r>
    </w:p>
  </w:footnote>
  <w:footnote w:id="4">
    <w:p w14:paraId="7C81E57A" w14:textId="237C1D6A"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2" w:history="1">
        <w:r w:rsidR="00A61A6A" w:rsidRPr="0097007A">
          <w:rPr>
            <w:rStyle w:val="Lienhypertexte"/>
          </w:rPr>
          <w:t>https://rohs.biois.eu/Ex_31a-IV_COCIR_Questionnaire-1_Clarification.pdf</w:t>
        </w:r>
      </w:hyperlink>
      <w:r w:rsidR="00A61A6A">
        <w:t xml:space="preserve"> </w:t>
      </w:r>
    </w:p>
  </w:footnote>
  <w:footnote w:id="5">
    <w:p w14:paraId="1E4D7F2F"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9D5D0" w14:textId="0AFABE0F" w:rsidR="00A33112" w:rsidRDefault="005A44D5">
    <w:pPr>
      <w:pStyle w:val="En-tte"/>
    </w:pPr>
    <w:r>
      <w:rPr>
        <w:noProof/>
        <w:lang w:val="fr-FR" w:bidi="hi-IN"/>
      </w:rPr>
      <w:drawing>
        <wp:anchor distT="0" distB="0" distL="114300" distR="114300" simplePos="0" relativeHeight="251659264" behindDoc="0" locked="0" layoutInCell="1" allowOverlap="1" wp14:anchorId="755E8B57" wp14:editId="1E10F103">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47147B9F" wp14:editId="0B0E0FFA">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7D755B4" wp14:editId="5563AE0A">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5C8A" w14:textId="20533BF4" w:rsidR="00A33112" w:rsidRDefault="008F0B59" w:rsidP="008F0B59">
    <w:pPr>
      <w:pStyle w:val="En-tte"/>
      <w:tabs>
        <w:tab w:val="clear" w:pos="4536"/>
      </w:tabs>
      <w:jc w:val="right"/>
    </w:pPr>
    <w:r>
      <w:rPr>
        <w:noProof/>
        <w:sz w:val="18"/>
        <w:szCs w:val="18"/>
        <w:lang w:val="fr-FR" w:bidi="hi-IN"/>
      </w:rPr>
      <w:drawing>
        <wp:anchor distT="0" distB="0" distL="114300" distR="114300" simplePos="0" relativeHeight="251664384" behindDoc="0" locked="0" layoutInCell="1" allowOverlap="1" wp14:anchorId="6EC402AA" wp14:editId="70A71A7B">
          <wp:simplePos x="0" y="0"/>
          <wp:positionH relativeFrom="column">
            <wp:posOffset>1753235</wp:posOffset>
          </wp:positionH>
          <wp:positionV relativeFrom="paragraph">
            <wp:posOffset>-11430</wp:posOffset>
          </wp:positionV>
          <wp:extent cx="774065" cy="210185"/>
          <wp:effectExtent l="0" t="0" r="0" b="0"/>
          <wp:wrapSquare wrapText="bothSides"/>
          <wp:docPr id="10"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62336" behindDoc="0" locked="0" layoutInCell="1" allowOverlap="1" wp14:anchorId="55AFE215" wp14:editId="57813424">
          <wp:simplePos x="0" y="0"/>
          <wp:positionH relativeFrom="column">
            <wp:posOffset>899160</wp:posOffset>
          </wp:positionH>
          <wp:positionV relativeFrom="paragraph">
            <wp:posOffset>-38100</wp:posOffset>
          </wp:positionV>
          <wp:extent cx="824865" cy="320675"/>
          <wp:effectExtent l="0" t="0" r="0" b="0"/>
          <wp:wrapSquare wrapText="bothSides"/>
          <wp:docPr id="11"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3360" behindDoc="0" locked="0" layoutInCell="1" allowOverlap="1" wp14:anchorId="12BA343B" wp14:editId="0C72652C">
          <wp:simplePos x="0" y="0"/>
          <wp:positionH relativeFrom="column">
            <wp:posOffset>0</wp:posOffset>
          </wp:positionH>
          <wp:positionV relativeFrom="paragraph">
            <wp:posOffset>0</wp:posOffset>
          </wp:positionV>
          <wp:extent cx="899160" cy="210185"/>
          <wp:effectExtent l="0" t="0" r="0" b="0"/>
          <wp:wrapSquare wrapText="bothSides"/>
          <wp:docPr id="12"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485D" w14:textId="6C95DE82" w:rsidR="00A33112" w:rsidRDefault="005A44D5"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494147B2" wp14:editId="7F11E547">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68684C42" wp14:editId="25226A12">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04425C98" wp14:editId="273998A3">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7923C"/>
    <w:multiLevelType w:val="hybridMultilevel"/>
    <w:tmpl w:val="88B240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2">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3">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4">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6">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8">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9">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1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1">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3">
    <w:nsid w:val="29DCAF32"/>
    <w:multiLevelType w:val="hybridMultilevel"/>
    <w:tmpl w:val="66ADE7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8">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3">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4">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8">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1">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3"/>
  </w:num>
  <w:num w:numId="5">
    <w:abstractNumId w:val="2"/>
  </w:num>
  <w:num w:numId="6">
    <w:abstractNumId w:val="1"/>
  </w:num>
  <w:num w:numId="7">
    <w:abstractNumId w:val="10"/>
  </w:num>
  <w:num w:numId="8">
    <w:abstractNumId w:val="23"/>
  </w:num>
  <w:num w:numId="9">
    <w:abstractNumId w:val="21"/>
  </w:num>
  <w:num w:numId="10">
    <w:abstractNumId w:val="16"/>
  </w:num>
  <w:num w:numId="11">
    <w:abstractNumId w:val="22"/>
  </w:num>
  <w:num w:numId="12">
    <w:abstractNumId w:val="8"/>
  </w:num>
  <w:num w:numId="13">
    <w:abstractNumId w:val="9"/>
  </w:num>
  <w:num w:numId="14">
    <w:abstractNumId w:val="7"/>
  </w:num>
  <w:num w:numId="15">
    <w:abstractNumId w:val="2"/>
  </w:num>
  <w:num w:numId="16">
    <w:abstractNumId w:val="19"/>
  </w:num>
  <w:num w:numId="17">
    <w:abstractNumId w:val="30"/>
  </w:num>
  <w:num w:numId="18">
    <w:abstractNumId w:val="12"/>
  </w:num>
  <w:num w:numId="19">
    <w:abstractNumId w:val="27"/>
  </w:num>
  <w:num w:numId="20">
    <w:abstractNumId w:val="1"/>
  </w:num>
  <w:num w:numId="21">
    <w:abstractNumId w:val="6"/>
  </w:num>
  <w:num w:numId="22">
    <w:abstractNumId w:val="17"/>
  </w:num>
  <w:num w:numId="23">
    <w:abstractNumId w:val="5"/>
  </w:num>
  <w:num w:numId="24">
    <w:abstractNumId w:val="11"/>
  </w:num>
  <w:num w:numId="25">
    <w:abstractNumId w:val="26"/>
  </w:num>
  <w:num w:numId="26">
    <w:abstractNumId w:val="28"/>
  </w:num>
  <w:num w:numId="27">
    <w:abstractNumId w:val="4"/>
  </w:num>
  <w:num w:numId="28">
    <w:abstractNumId w:val="14"/>
  </w:num>
  <w:num w:numId="29">
    <w:abstractNumId w:val="24"/>
  </w:num>
  <w:num w:numId="30">
    <w:abstractNumId w:val="18"/>
  </w:num>
  <w:num w:numId="31">
    <w:abstractNumId w:val="15"/>
  </w:num>
  <w:num w:numId="32">
    <w:abstractNumId w:val="29"/>
  </w:num>
  <w:num w:numId="33">
    <w:abstractNumId w:val="31"/>
  </w:num>
  <w:num w:numId="34">
    <w:abstractNumId w:val="25"/>
  </w:num>
  <w:num w:numId="35">
    <w:abstractNumId w:val="20"/>
  </w:num>
  <w:num w:numId="36">
    <w:abstractNumId w:val="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D5"/>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5FE"/>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21CE"/>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5FF"/>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3B7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0A45"/>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97"/>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4D5"/>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586D"/>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70F"/>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1FED"/>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50A"/>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0B59"/>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157A"/>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1FAF"/>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A6A"/>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6C82"/>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67DD1"/>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E34"/>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2FDF"/>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A06"/>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81E"/>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E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UnresolvedMention">
    <w:name w:val="Unresolved Mention"/>
    <w:basedOn w:val="Policepardfaut"/>
    <w:uiPriority w:val="99"/>
    <w:semiHidden/>
    <w:unhideWhenUsed/>
    <w:rsid w:val="00A61A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UnresolvedMention">
    <w:name w:val="Unresolved Mention"/>
    <w:basedOn w:val="Policepardfaut"/>
    <w:uiPriority w:val="99"/>
    <w:semiHidden/>
    <w:unhideWhenUsed/>
    <w:rsid w:val="00A61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_31a-IV_COCIR_Questionnaire-1_Clarification.pdf" TargetMode="External"/><Relationship Id="rId1" Type="http://schemas.openxmlformats.org/officeDocument/2006/relationships/hyperlink" Target="https://rohs.biois.eu/Ex_31a-IV_COCIR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hloss\Desktop\RoHS%20lokal\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C615-FCC5-4639-A756-FFA5EB44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57</TotalTime>
  <Pages>3</Pages>
  <Words>953</Words>
  <Characters>5242</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6183</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Rückschloss, Jana</dc:creator>
  <cp:keywords/>
  <cp:lastModifiedBy>Shailendra Mudgal</cp:lastModifiedBy>
  <cp:revision>12</cp:revision>
  <cp:lastPrinted>2020-07-22T11:37:00Z</cp:lastPrinted>
  <dcterms:created xsi:type="dcterms:W3CDTF">2020-09-17T07:02:00Z</dcterms:created>
  <dcterms:modified xsi:type="dcterms:W3CDTF">2020-09-25T07:53:00Z</dcterms:modified>
</cp:coreProperties>
</file>