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C1910" w14:textId="189053A9" w:rsidR="00082399" w:rsidRPr="00BA495E" w:rsidRDefault="00261090" w:rsidP="00672D1F">
      <w:pPr>
        <w:pStyle w:val="Title"/>
        <w:rPr>
          <w:rFonts w:ascii="Oswald" w:hAnsi="Oswald"/>
          <w:b w:val="0"/>
          <w:bCs w:val="0"/>
          <w:color w:val="4196C6"/>
          <w:lang w:val="fr-FR"/>
        </w:rPr>
      </w:pPr>
      <w:bookmarkStart w:id="0" w:name="_Toc125278732"/>
      <w:r w:rsidRPr="00BA495E">
        <w:rPr>
          <w:rFonts w:ascii="Oswald" w:hAnsi="Oswald"/>
          <w:b w:val="0"/>
          <w:bCs w:val="0"/>
          <w:color w:val="4196C6"/>
          <w:lang w:val="fr-FR"/>
        </w:rPr>
        <w:t>Consultation Questionnaire</w:t>
      </w:r>
      <w:r w:rsidR="00082399" w:rsidRPr="00BA495E">
        <w:rPr>
          <w:rFonts w:ascii="Oswald" w:hAnsi="Oswald"/>
          <w:b w:val="0"/>
          <w:bCs w:val="0"/>
          <w:color w:val="4196C6"/>
          <w:lang w:val="fr-FR"/>
        </w:rPr>
        <w:t xml:space="preserve"> Exemption </w:t>
      </w:r>
      <w:r w:rsidR="001741D2">
        <w:rPr>
          <w:rFonts w:ascii="Oswald" w:hAnsi="Oswald"/>
          <w:b w:val="0"/>
          <w:bCs w:val="0"/>
          <w:color w:val="4196C6"/>
          <w:lang w:val="fr-FR"/>
        </w:rPr>
        <w:t>No. 4(f)</w:t>
      </w:r>
      <w:r w:rsidR="00E63C39" w:rsidRPr="00E63C39">
        <w:rPr>
          <w:rFonts w:ascii="Oswald" w:hAnsi="Oswald"/>
          <w:b w:val="0"/>
          <w:bCs w:val="0"/>
          <w:color w:val="4196C6"/>
          <w:lang w:val="fr-FR"/>
        </w:rPr>
        <w:t xml:space="preserve"> of RoHS Annex III</w:t>
      </w:r>
    </w:p>
    <w:p w14:paraId="5E6BB7D2" w14:textId="0ACCB03B" w:rsidR="008E61BA" w:rsidRPr="008E61BA" w:rsidRDefault="008E61BA" w:rsidP="009F5D18">
      <w:pPr>
        <w:pStyle w:val="IntenseQuote"/>
        <w:rPr>
          <w:i w:val="0"/>
        </w:rPr>
      </w:pPr>
      <w:r w:rsidRPr="008E61BA">
        <w:rPr>
          <w:i w:val="0"/>
        </w:rPr>
        <w:t>Current wording of the exemption:</w:t>
      </w:r>
    </w:p>
    <w:p w14:paraId="73E63E47" w14:textId="77777777" w:rsidR="001741D2" w:rsidRPr="00797546" w:rsidRDefault="001741D2" w:rsidP="001741D2">
      <w:pPr>
        <w:pStyle w:val="IntenseQuote"/>
        <w:rPr>
          <w:rFonts w:ascii="Arial" w:hAnsi="Arial" w:cs="Arial"/>
          <w:sz w:val="22"/>
        </w:rPr>
      </w:pPr>
      <w:r>
        <w:t>Mercury in other discharge lamps for special purposes not specifically mentioned in this Annex</w:t>
      </w:r>
    </w:p>
    <w:p w14:paraId="62F024DC" w14:textId="5D5F4360" w:rsidR="001741D2" w:rsidRPr="00B13575" w:rsidRDefault="001741D2" w:rsidP="001741D2">
      <w:pPr>
        <w:pStyle w:val="IntenseQuote"/>
        <w:rPr>
          <w:rFonts w:ascii="Arial" w:hAnsi="Arial" w:cs="Arial"/>
          <w:i w:val="0"/>
          <w:sz w:val="22"/>
        </w:rPr>
      </w:pPr>
      <w:r w:rsidRPr="00B13575">
        <w:rPr>
          <w:rFonts w:ascii="Arial" w:hAnsi="Arial" w:cs="Arial"/>
          <w:i w:val="0"/>
          <w:sz w:val="22"/>
        </w:rPr>
        <w:t xml:space="preserve">Requested validity period: </w:t>
      </w:r>
      <w:r w:rsidR="00DD00B7">
        <w:rPr>
          <w:rFonts w:ascii="Arial" w:hAnsi="Arial" w:cs="Arial"/>
          <w:i w:val="0"/>
          <w:sz w:val="22"/>
        </w:rPr>
        <w:t>Maximum (</w:t>
      </w:r>
      <w:r>
        <w:rPr>
          <w:rFonts w:ascii="Arial" w:hAnsi="Arial" w:cs="Arial"/>
          <w:i w:val="0"/>
          <w:sz w:val="22"/>
        </w:rPr>
        <w:t>5</w:t>
      </w:r>
      <w:r w:rsidRPr="00B13575">
        <w:rPr>
          <w:rFonts w:ascii="Arial" w:hAnsi="Arial" w:cs="Arial"/>
          <w:i w:val="0"/>
          <w:sz w:val="22"/>
        </w:rPr>
        <w:t xml:space="preserve"> years</w:t>
      </w:r>
      <w:r w:rsidR="00DD00B7">
        <w:rPr>
          <w:rFonts w:ascii="Arial" w:hAnsi="Arial" w:cs="Arial"/>
          <w:i w:val="0"/>
          <w:sz w:val="22"/>
        </w:rPr>
        <w:t xml:space="preserve"> and 7 years (cat. 8 and 9) respectively)</w:t>
      </w:r>
    </w:p>
    <w:p w14:paraId="6E36DA5D" w14:textId="77777777" w:rsidR="00E63C39" w:rsidRDefault="00E63C39" w:rsidP="00E63C39"/>
    <w:bookmarkEnd w:id="0"/>
    <w:p w14:paraId="3E3B0354" w14:textId="77777777" w:rsidR="00672D1F" w:rsidRPr="00672D1F" w:rsidRDefault="00672D1F" w:rsidP="00F73789">
      <w:pPr>
        <w:pStyle w:val="Heading1"/>
        <w:numPr>
          <w:ilvl w:val="0"/>
          <w:numId w:val="0"/>
        </w:numPr>
      </w:pPr>
      <w:r w:rsidRPr="00672D1F">
        <w:t>Acronyms and Definitions</w:t>
      </w:r>
    </w:p>
    <w:p w14:paraId="58D172E8" w14:textId="77777777" w:rsidR="001741D2" w:rsidRPr="00797546" w:rsidRDefault="001741D2" w:rsidP="001741D2">
      <w:pPr>
        <w:ind w:left="2268" w:hanging="2268"/>
        <w:rPr>
          <w:rStyle w:val="Standard1"/>
          <w:sz w:val="22"/>
          <w:lang w:eastAsia="fr-FR"/>
        </w:rPr>
      </w:pPr>
      <w:r>
        <w:rPr>
          <w:rStyle w:val="Standard1"/>
          <w:sz w:val="22"/>
          <w:lang w:eastAsia="fr-FR"/>
        </w:rPr>
        <w:t>UV</w:t>
      </w:r>
      <w:r w:rsidRPr="00797546">
        <w:rPr>
          <w:rStyle w:val="Standard1"/>
          <w:sz w:val="22"/>
          <w:lang w:eastAsia="fr-FR"/>
        </w:rPr>
        <w:tab/>
      </w:r>
      <w:r>
        <w:rPr>
          <w:rStyle w:val="Standard1"/>
          <w:sz w:val="22"/>
          <w:lang w:eastAsia="fr-FR"/>
        </w:rPr>
        <w:t>Ultra Violet</w:t>
      </w:r>
    </w:p>
    <w:p w14:paraId="763201D3" w14:textId="77777777" w:rsidR="001741D2" w:rsidRDefault="001741D2" w:rsidP="001741D2">
      <w:pPr>
        <w:ind w:left="2268" w:hanging="2268"/>
        <w:rPr>
          <w:rStyle w:val="Standard1"/>
          <w:sz w:val="22"/>
          <w:lang w:eastAsia="fr-FR"/>
        </w:rPr>
      </w:pPr>
      <w:r>
        <w:rPr>
          <w:rStyle w:val="Standard1"/>
          <w:sz w:val="22"/>
          <w:lang w:eastAsia="fr-FR"/>
        </w:rPr>
        <w:t>LED</w:t>
      </w:r>
      <w:r w:rsidRPr="00797546">
        <w:rPr>
          <w:rStyle w:val="Standard1"/>
          <w:sz w:val="22"/>
          <w:lang w:eastAsia="fr-FR"/>
        </w:rPr>
        <w:tab/>
      </w:r>
      <w:r>
        <w:rPr>
          <w:rStyle w:val="Standard1"/>
          <w:sz w:val="22"/>
          <w:lang w:eastAsia="fr-FR"/>
        </w:rPr>
        <w:t>Light-Emitting-Diode</w:t>
      </w:r>
    </w:p>
    <w:p w14:paraId="777CE9CB" w14:textId="6D1CF408" w:rsidR="001741D2" w:rsidRDefault="001741D2" w:rsidP="001741D2">
      <w:pPr>
        <w:ind w:left="2268" w:hanging="2268"/>
        <w:rPr>
          <w:rStyle w:val="Standard1"/>
          <w:sz w:val="22"/>
          <w:lang w:eastAsia="fr-FR"/>
        </w:rPr>
      </w:pPr>
      <w:r>
        <w:rPr>
          <w:rStyle w:val="Standard1"/>
          <w:sz w:val="22"/>
          <w:lang w:eastAsia="fr-FR"/>
        </w:rPr>
        <w:t>Hg</w:t>
      </w:r>
      <w:r>
        <w:rPr>
          <w:rStyle w:val="Standard1"/>
          <w:sz w:val="22"/>
          <w:lang w:eastAsia="fr-FR"/>
        </w:rPr>
        <w:tab/>
        <w:t>Mercury</w:t>
      </w:r>
    </w:p>
    <w:p w14:paraId="0ACACB80" w14:textId="307361ED" w:rsidR="007C5A6E" w:rsidRPr="00797546" w:rsidRDefault="007C5A6E" w:rsidP="001741D2">
      <w:pPr>
        <w:ind w:left="2268" w:hanging="2268"/>
        <w:rPr>
          <w:rStyle w:val="Standard1"/>
          <w:sz w:val="22"/>
          <w:lang w:eastAsia="fr-FR"/>
        </w:rPr>
      </w:pPr>
      <w:r>
        <w:rPr>
          <w:rStyle w:val="Standard1"/>
          <w:sz w:val="22"/>
          <w:lang w:eastAsia="fr-FR"/>
        </w:rPr>
        <w:t>LEU</w:t>
      </w:r>
      <w:r>
        <w:rPr>
          <w:rStyle w:val="Standard1"/>
          <w:sz w:val="22"/>
          <w:lang w:eastAsia="fr-FR"/>
        </w:rPr>
        <w:tab/>
      </w:r>
      <w:proofErr w:type="spellStart"/>
      <w:r>
        <w:rPr>
          <w:rStyle w:val="Standard1"/>
          <w:sz w:val="22"/>
          <w:lang w:eastAsia="fr-FR"/>
        </w:rPr>
        <w:t>LightingEurope</w:t>
      </w:r>
      <w:proofErr w:type="spellEnd"/>
    </w:p>
    <w:p w14:paraId="3782059A" w14:textId="77777777" w:rsidR="00D26F39" w:rsidRPr="00672D1F" w:rsidRDefault="00D26F39" w:rsidP="00D26F39">
      <w:pPr>
        <w:tabs>
          <w:tab w:val="left" w:pos="2835"/>
        </w:tabs>
        <w:rPr>
          <w:rStyle w:val="Standard1"/>
          <w:rFonts w:ascii="Open Sans" w:hAnsi="Open Sans" w:cs="Open Sans"/>
          <w:lang w:eastAsia="fr-FR"/>
        </w:rPr>
      </w:pPr>
    </w:p>
    <w:p w14:paraId="357339A6" w14:textId="77777777" w:rsidR="00F73789" w:rsidRPr="00F73789" w:rsidRDefault="00F73789" w:rsidP="00F73789">
      <w:pPr>
        <w:pStyle w:val="Heading1"/>
        <w:rPr>
          <w:rStyle w:val="Standard1"/>
          <w:rFonts w:ascii="Open Sans" w:hAnsi="Open Sans" w:cs="Open Sans"/>
          <w:lang w:val="en-US" w:eastAsia="fr-FR"/>
        </w:rPr>
      </w:pPr>
      <w:r w:rsidRPr="00F73789">
        <w:rPr>
          <w:rStyle w:val="Standard1"/>
          <w:rFonts w:ascii="Open Sans" w:hAnsi="Open Sans" w:cs="Open Sans"/>
          <w:lang w:val="en-US" w:eastAsia="fr-FR"/>
        </w:rPr>
        <w:t>Introduction</w:t>
      </w:r>
    </w:p>
    <w:p w14:paraId="3297A2EB" w14:textId="41A84BD0" w:rsidR="00672D1F" w:rsidRPr="00F73789" w:rsidRDefault="00672D1F" w:rsidP="00F73789">
      <w:pPr>
        <w:pStyle w:val="Heading2"/>
        <w:rPr>
          <w:rStyle w:val="Standard1"/>
          <w:rFonts w:ascii="Open Sans" w:hAnsi="Open Sans" w:cs="Open Sans"/>
          <w:lang w:val="en-US" w:eastAsia="fr-FR"/>
        </w:rPr>
      </w:pPr>
      <w:r w:rsidRPr="00F73789">
        <w:rPr>
          <w:rStyle w:val="Standard1"/>
          <w:rFonts w:ascii="Open Sans" w:hAnsi="Open Sans" w:cs="Open Sans"/>
          <w:lang w:val="en-US" w:eastAsia="fr-FR"/>
        </w:rPr>
        <w:t>Background</w:t>
      </w:r>
      <w:r w:rsidR="00CD30DC" w:rsidRPr="00F73789">
        <w:rPr>
          <w:rStyle w:val="Standard1"/>
          <w:rFonts w:ascii="Open Sans" w:hAnsi="Open Sans" w:cs="Open Sans"/>
          <w:lang w:val="en-US" w:eastAsia="fr-FR"/>
        </w:rPr>
        <w:t xml:space="preserve"> </w:t>
      </w:r>
    </w:p>
    <w:p w14:paraId="7E51CFDC"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FootnoteReference"/>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23A0177F" w14:textId="0D7684B9" w:rsidR="00672D1F" w:rsidRDefault="0081418A" w:rsidP="00672D1F">
      <w:pPr>
        <w:rPr>
          <w:rStyle w:val="Standard1"/>
          <w:rFonts w:ascii="Open Sans" w:hAnsi="Open Sans" w:cs="Open Sans"/>
          <w:lang w:eastAsia="fr-FR"/>
        </w:rPr>
      </w:pPr>
      <w:r>
        <w:rPr>
          <w:rStyle w:val="Standard1"/>
          <w:rFonts w:ascii="Open Sans" w:hAnsi="Open Sans" w:cs="Open Sans"/>
          <w:lang w:eastAsia="fr-FR"/>
        </w:rPr>
        <w:t>VDMA and Lighting Europe</w:t>
      </w:r>
      <w:r w:rsidR="00672D1F" w:rsidRPr="00672D1F">
        <w:rPr>
          <w:rStyle w:val="Standard1"/>
          <w:rFonts w:ascii="Open Sans" w:hAnsi="Open Sans" w:cs="Open Sans"/>
          <w:lang w:eastAsia="fr-FR"/>
        </w:rPr>
        <w:t xml:space="preserve"> submitted</w:t>
      </w:r>
      <w:r w:rsidR="00D26F39">
        <w:rPr>
          <w:rStyle w:val="Standard1"/>
          <w:rFonts w:ascii="Open Sans" w:hAnsi="Open Sans" w:cs="Open Sans"/>
          <w:lang w:eastAsia="fr-FR"/>
        </w:rPr>
        <w:t xml:space="preserve"> </w:t>
      </w:r>
      <w:r w:rsidR="00672D1F" w:rsidRPr="00672D1F">
        <w:rPr>
          <w:rStyle w:val="Standard1"/>
          <w:rFonts w:ascii="Open Sans" w:hAnsi="Open Sans" w:cs="Open Sans"/>
          <w:lang w:eastAsia="fr-FR"/>
        </w:rPr>
        <w:t>request</w:t>
      </w:r>
      <w:r>
        <w:rPr>
          <w:rStyle w:val="Standard1"/>
          <w:rFonts w:ascii="Open Sans" w:hAnsi="Open Sans" w:cs="Open Sans"/>
          <w:lang w:eastAsia="fr-FR"/>
        </w:rPr>
        <w:t>s</w:t>
      </w:r>
      <w:bookmarkStart w:id="1" w:name="_Ref69296263"/>
      <w:r w:rsidR="00672D1F">
        <w:rPr>
          <w:rStyle w:val="FootnoteReference"/>
          <w:rFonts w:cs="Open Sans"/>
        </w:rPr>
        <w:footnoteReference w:id="3"/>
      </w:r>
      <w:bookmarkEnd w:id="1"/>
      <w:r w:rsidR="00672D1F" w:rsidRPr="00672D1F">
        <w:rPr>
          <w:rStyle w:val="Standard1"/>
          <w:rFonts w:ascii="Open Sans" w:hAnsi="Open Sans" w:cs="Open Sans"/>
          <w:lang w:eastAsia="fr-FR"/>
        </w:rPr>
        <w:t xml:space="preserve"> for the </w:t>
      </w:r>
      <w:r w:rsidR="008E61BA">
        <w:rPr>
          <w:rStyle w:val="Standard1"/>
          <w:rFonts w:ascii="Open Sans" w:hAnsi="Open Sans" w:cs="Open Sans"/>
          <w:lang w:eastAsia="fr-FR"/>
        </w:rPr>
        <w:t>renewal</w:t>
      </w:r>
      <w:r w:rsidR="00672D1F" w:rsidRPr="00672D1F">
        <w:rPr>
          <w:rStyle w:val="Standard1"/>
          <w:rFonts w:ascii="Open Sans" w:hAnsi="Open Sans" w:cs="Open Sans"/>
          <w:lang w:eastAsia="fr-FR"/>
        </w:rPr>
        <w:t xml:space="preserve"> of the above-mentioned exemption. The request has been subject to a first completeness and plausibility check. The applicant has been re-quested to answer additional questions and to provide additional information, available on the request webpage of the stakeholder consultation</w:t>
      </w:r>
      <w:r w:rsidR="00672D1F">
        <w:rPr>
          <w:rStyle w:val="FootnoteReference"/>
          <w:rFonts w:cs="Open Sans"/>
        </w:rPr>
        <w:footnoteReference w:id="4"/>
      </w:r>
      <w:r w:rsidR="00C92EBF">
        <w:rPr>
          <w:rStyle w:val="Standard1"/>
          <w:rFonts w:ascii="Open Sans" w:hAnsi="Open Sans" w:cs="Open Sans"/>
          <w:lang w:eastAsia="fr-FR"/>
        </w:rPr>
        <w:t>.</w:t>
      </w:r>
      <w:r w:rsidR="00672D1F" w:rsidRPr="00672D1F">
        <w:rPr>
          <w:rStyle w:val="Standard1"/>
          <w:rFonts w:ascii="Open Sans" w:hAnsi="Open Sans" w:cs="Open Sans"/>
          <w:lang w:eastAsia="fr-FR"/>
        </w:rPr>
        <w:t xml:space="preserve">  </w:t>
      </w:r>
    </w:p>
    <w:p w14:paraId="4B7787DD" w14:textId="77777777" w:rsidR="00F73789" w:rsidRPr="00672D1F" w:rsidRDefault="00F73789" w:rsidP="00F73789">
      <w:pPr>
        <w:rPr>
          <w:rStyle w:val="Standard1"/>
          <w:rFonts w:ascii="Open Sans" w:hAnsi="Open Sans" w:cs="Open Sans"/>
          <w:lang w:eastAsia="fr-FR"/>
        </w:rPr>
      </w:pPr>
      <w:r w:rsidRPr="00672D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Pr>
          <w:rStyle w:val="FootnoteReference"/>
          <w:rFonts w:cs="Open Sans"/>
        </w:rPr>
        <w:footnoteReference w:id="5"/>
      </w:r>
      <w:r w:rsidRPr="00672D1F">
        <w:rPr>
          <w:rStyle w:val="Standard1"/>
          <w:rFonts w:ascii="Open Sans" w:hAnsi="Open Sans" w:cs="Open Sans"/>
          <w:lang w:eastAsia="fr-FR"/>
        </w:rPr>
        <w:t xml:space="preserve"> </w:t>
      </w:r>
    </w:p>
    <w:p w14:paraId="43A404EC" w14:textId="3A965E6A" w:rsidR="00F73789" w:rsidRDefault="00F73789" w:rsidP="00F73789">
      <w:pPr>
        <w:rPr>
          <w:rStyle w:val="Standard1"/>
          <w:rFonts w:ascii="Open Sans" w:hAnsi="Open Sans" w:cs="Open Sans"/>
          <w:lang w:eastAsia="fr-FR"/>
        </w:rPr>
      </w:pPr>
      <w:r w:rsidRPr="00672D1F">
        <w:rPr>
          <w:rStyle w:val="Standard1"/>
          <w:rFonts w:ascii="Open Sans" w:hAnsi="Open Sans" w:cs="Open Sans"/>
          <w:lang w:eastAsia="fr-FR"/>
        </w:rPr>
        <w:t xml:space="preserve">To contribute to this stakeholder consultation, please answer the below questions until </w:t>
      </w:r>
      <w:r w:rsidR="00C92EBF">
        <w:rPr>
          <w:rStyle w:val="Standard1"/>
          <w:rFonts w:ascii="Open Sans" w:hAnsi="Open Sans" w:cs="Open Sans"/>
          <w:lang w:eastAsia="fr-FR"/>
        </w:rPr>
        <w:t xml:space="preserve">the </w:t>
      </w:r>
      <w:r w:rsidR="00C92EBF">
        <w:t>27th of May 2021</w:t>
      </w:r>
      <w:r w:rsidR="00C92EBF">
        <w:t>.</w:t>
      </w:r>
    </w:p>
    <w:p w14:paraId="381B7081" w14:textId="77777777" w:rsidR="00F73789" w:rsidRDefault="00F73789" w:rsidP="00672D1F">
      <w:pPr>
        <w:rPr>
          <w:rStyle w:val="Standard1"/>
          <w:rFonts w:ascii="Open Sans" w:hAnsi="Open Sans" w:cs="Open Sans"/>
          <w:lang w:eastAsia="fr-FR"/>
        </w:rPr>
      </w:pPr>
    </w:p>
    <w:p w14:paraId="6F10F9FE" w14:textId="44512D44" w:rsidR="0081418A" w:rsidRPr="00672D1F" w:rsidRDefault="00F73789" w:rsidP="00F73789">
      <w:pPr>
        <w:pStyle w:val="Heading2"/>
        <w:rPr>
          <w:rStyle w:val="Standard1"/>
          <w:rFonts w:ascii="Open Sans" w:hAnsi="Open Sans" w:cs="Open Sans"/>
          <w:lang w:eastAsia="fr-FR"/>
        </w:rPr>
      </w:pPr>
      <w:r w:rsidRPr="00F73789">
        <w:rPr>
          <w:rStyle w:val="Standard1"/>
          <w:rFonts w:ascii="Open Sans" w:hAnsi="Open Sans" w:cs="Open Sans"/>
          <w:lang w:val="en-US" w:eastAsia="fr-FR"/>
        </w:rPr>
        <w:t>Summary of the Exemption Request</w:t>
      </w:r>
      <w:r>
        <w:rPr>
          <w:rStyle w:val="Standard1"/>
          <w:rFonts w:ascii="Open Sans" w:hAnsi="Open Sans" w:cs="Open Sans"/>
          <w:lang w:eastAsia="fr-FR"/>
        </w:rPr>
        <w:t xml:space="preserve"> </w:t>
      </w:r>
    </w:p>
    <w:p w14:paraId="535970CF" w14:textId="77777777" w:rsidR="009620C6" w:rsidRPr="00594CB0" w:rsidRDefault="00E627A5" w:rsidP="00672D1F">
      <w:pPr>
        <w:rPr>
          <w:rFonts w:ascii="Arial" w:hAnsi="Arial" w:cs="Arial"/>
          <w:i/>
          <w:iCs/>
        </w:rPr>
      </w:pPr>
      <w:r>
        <w:rPr>
          <w:rStyle w:val="Standard1"/>
          <w:rFonts w:ascii="Open Sans" w:hAnsi="Open Sans" w:cs="Open Sans"/>
          <w:szCs w:val="20"/>
          <w:lang w:eastAsia="fr-FR"/>
        </w:rPr>
        <w:t>According to VDMA: “</w:t>
      </w:r>
      <w:r w:rsidRPr="00594CB0">
        <w:rPr>
          <w:rFonts w:ascii="Arial" w:hAnsi="Arial" w:cs="Arial"/>
          <w:i/>
          <w:iCs/>
        </w:rPr>
        <w:t>The application for prolongation of the existing exemption refers to mercury-containing UV discharge lamps which are used for curing (</w:t>
      </w:r>
      <w:proofErr w:type="gramStart"/>
      <w:r w:rsidRPr="00594CB0">
        <w:rPr>
          <w:rFonts w:ascii="Arial" w:hAnsi="Arial" w:cs="Arial"/>
          <w:i/>
          <w:iCs/>
        </w:rPr>
        <w:t>e.g.</w:t>
      </w:r>
      <w:proofErr w:type="gramEnd"/>
      <w:r w:rsidRPr="00594CB0">
        <w:rPr>
          <w:rFonts w:ascii="Arial" w:hAnsi="Arial" w:cs="Arial"/>
          <w:i/>
          <w:iCs/>
        </w:rPr>
        <w:t xml:space="preserve"> of layers of inks and coatings, adhesives and sealants), </w:t>
      </w:r>
      <w:r w:rsidRPr="00594CB0">
        <w:rPr>
          <w:rFonts w:ascii="Arial" w:hAnsi="Arial" w:cs="Arial"/>
          <w:i/>
          <w:iCs/>
        </w:rPr>
        <w:lastRenderedPageBreak/>
        <w:t xml:space="preserve">for disinfection (e.g. of water, surfaces and air) and for other industrial applications (surface modification, surface activation) The application includes the following lamp types: </w:t>
      </w:r>
    </w:p>
    <w:p w14:paraId="0CD60263" w14:textId="2AA35D44" w:rsidR="009620C6" w:rsidRPr="00594CB0" w:rsidRDefault="00E627A5" w:rsidP="00DF59FE">
      <w:pPr>
        <w:pStyle w:val="ListParagraph"/>
        <w:numPr>
          <w:ilvl w:val="0"/>
          <w:numId w:val="37"/>
        </w:numPr>
        <w:rPr>
          <w:rFonts w:ascii="Arial" w:hAnsi="Arial" w:cs="Arial"/>
          <w:i/>
          <w:iCs/>
        </w:rPr>
      </w:pPr>
      <w:r w:rsidRPr="00594CB0">
        <w:rPr>
          <w:rFonts w:ascii="Arial" w:hAnsi="Arial" w:cs="Arial"/>
          <w:b/>
          <w:bCs/>
          <w:i/>
          <w:iCs/>
        </w:rPr>
        <w:t>UV medium-pressure discharge lamps (MPL) for curing, disinfection and other industrial applications</w:t>
      </w:r>
      <w:r w:rsidRPr="00594CB0">
        <w:rPr>
          <w:rFonts w:ascii="Arial" w:hAnsi="Arial" w:cs="Arial"/>
          <w:i/>
          <w:iCs/>
        </w:rPr>
        <w:t xml:space="preserve"> (internal operating pressure &gt; 100 mbar)</w:t>
      </w:r>
      <w:r w:rsidR="009620C6" w:rsidRPr="00594CB0">
        <w:rPr>
          <w:rFonts w:ascii="Arial" w:hAnsi="Arial" w:cs="Arial"/>
          <w:i/>
          <w:iCs/>
        </w:rPr>
        <w:t xml:space="preserve">. The UV medium-pressure lamps can be doped with iron, gallium or lead in addition to the mercury they contain. </w:t>
      </w:r>
    </w:p>
    <w:p w14:paraId="1DB3EEFE" w14:textId="16C9FFEF" w:rsidR="009620C6" w:rsidRPr="00594CB0" w:rsidRDefault="009620C6" w:rsidP="009620C6">
      <w:pPr>
        <w:pStyle w:val="ListParagraph"/>
        <w:numPr>
          <w:ilvl w:val="0"/>
          <w:numId w:val="37"/>
        </w:numPr>
        <w:rPr>
          <w:rFonts w:ascii="Arial" w:hAnsi="Arial" w:cs="Arial"/>
          <w:i/>
          <w:iCs/>
        </w:rPr>
      </w:pPr>
      <w:r w:rsidRPr="00594CB0">
        <w:rPr>
          <w:rFonts w:ascii="Arial" w:hAnsi="Arial" w:cs="Arial"/>
          <w:b/>
          <w:bCs/>
          <w:i/>
          <w:iCs/>
        </w:rPr>
        <w:t>UV low-pressure discharge lamps for special purposes</w:t>
      </w:r>
      <w:r w:rsidRPr="00594CB0">
        <w:rPr>
          <w:rFonts w:ascii="Arial" w:hAnsi="Arial" w:cs="Arial"/>
          <w:i/>
          <w:iCs/>
        </w:rPr>
        <w:t xml:space="preserve"> in the high power range. </w:t>
      </w:r>
      <w:r w:rsidR="00A400DC" w:rsidRPr="00594CB0">
        <w:rPr>
          <w:rFonts w:ascii="Arial" w:hAnsi="Arial" w:cs="Arial"/>
          <w:i/>
          <w:iCs/>
        </w:rPr>
        <w:t>[…]</w:t>
      </w:r>
    </w:p>
    <w:p w14:paraId="2CD46017" w14:textId="52BC4750" w:rsidR="005F69C6" w:rsidRPr="00F06C76" w:rsidRDefault="00C50B89" w:rsidP="00F06C76">
      <w:pPr>
        <w:rPr>
          <w:rFonts w:ascii="Arial" w:hAnsi="Arial" w:cs="Arial"/>
          <w:i/>
          <w:iCs/>
        </w:rPr>
      </w:pPr>
      <w:r w:rsidRPr="00F06C76">
        <w:rPr>
          <w:rFonts w:ascii="Arial" w:hAnsi="Arial" w:cs="Arial"/>
          <w:bCs/>
          <w:i/>
          <w:iCs/>
        </w:rPr>
        <w:t>Typical applications to be covered by this application include</w:t>
      </w:r>
      <w:r w:rsidR="00F06C76" w:rsidRPr="00F06C76">
        <w:rPr>
          <w:rFonts w:ascii="Arial" w:hAnsi="Arial" w:cs="Arial"/>
          <w:bCs/>
          <w:i/>
          <w:iCs/>
        </w:rPr>
        <w:t xml:space="preserve"> curing, e.g. of inks and coatings, disinfection of water etc., and other industrial applications like surface activation and cleaning.</w:t>
      </w:r>
    </w:p>
    <w:p w14:paraId="48078B85" w14:textId="381A631D" w:rsidR="005F69C6" w:rsidRPr="00594CB0" w:rsidRDefault="00DF59FE" w:rsidP="00DF59FE">
      <w:pPr>
        <w:rPr>
          <w:rFonts w:ascii="Arial" w:hAnsi="Arial" w:cs="Arial"/>
          <w:i/>
          <w:iCs/>
        </w:rPr>
      </w:pPr>
      <w:r>
        <w:rPr>
          <w:rFonts w:ascii="Arial" w:hAnsi="Arial" w:cs="Arial"/>
          <w:i/>
          <w:iCs/>
        </w:rPr>
        <w:t>I</w:t>
      </w:r>
      <w:r w:rsidR="005F69C6" w:rsidRPr="00594CB0">
        <w:rPr>
          <w:rFonts w:ascii="Arial" w:hAnsi="Arial" w:cs="Arial"/>
          <w:i/>
          <w:iCs/>
        </w:rPr>
        <w:t xml:space="preserve">t is technically not possible to replace mercury in special UV lamps with other materials/chemicals in order to achieve the same widespread radiation distribution. LED-based technologies are increasingly being used, which in certain applications (e.g. curing) also offer many advantages over mercury-containing UV lamps. Nevertheless, LED technologies cannot be used as an equivalent replacement in many applications. </w:t>
      </w:r>
      <w:r w:rsidR="00594CB0" w:rsidRPr="00594CB0">
        <w:rPr>
          <w:rFonts w:ascii="Arial" w:hAnsi="Arial" w:cs="Arial"/>
          <w:i/>
          <w:iCs/>
        </w:rPr>
        <w:t>”</w:t>
      </w:r>
    </w:p>
    <w:p w14:paraId="3BD0098E" w14:textId="77777777" w:rsidR="005F69C6" w:rsidRPr="00C50B89" w:rsidRDefault="005F69C6" w:rsidP="005F69C6">
      <w:pPr>
        <w:spacing w:before="0"/>
      </w:pPr>
    </w:p>
    <w:p w14:paraId="3A00B67E" w14:textId="543C5E95" w:rsidR="000079B1" w:rsidRDefault="009620C6" w:rsidP="00DF59FE">
      <w:pPr>
        <w:spacing w:before="0"/>
      </w:pPr>
      <w:r>
        <w:t xml:space="preserve">According to </w:t>
      </w:r>
      <w:proofErr w:type="spellStart"/>
      <w:r>
        <w:t>LightingEurope</w:t>
      </w:r>
      <w:proofErr w:type="spellEnd"/>
      <w:r w:rsidR="00DF59FE">
        <w:t>,</w:t>
      </w:r>
      <w:r>
        <w:t xml:space="preserve"> </w:t>
      </w:r>
      <w:r w:rsidR="007C5A6E" w:rsidRPr="00A400DC">
        <w:rPr>
          <w:i/>
          <w:iCs/>
        </w:rPr>
        <w:t>“</w:t>
      </w:r>
      <w:r w:rsidR="00A400DC" w:rsidRPr="00A400DC">
        <w:rPr>
          <w:i/>
          <w:iCs/>
        </w:rPr>
        <w:t>[…]</w:t>
      </w:r>
      <w:r w:rsidR="000079B1">
        <w:rPr>
          <w:i/>
          <w:iCs/>
        </w:rPr>
        <w:t xml:space="preserve"> </w:t>
      </w:r>
      <w:r w:rsidR="000079B1">
        <w:t xml:space="preserve">The </w:t>
      </w:r>
      <w:r w:rsidR="00DB4272">
        <w:t xml:space="preserve">renewal application concerns </w:t>
      </w:r>
      <w:r w:rsidR="000079B1">
        <w:t xml:space="preserve">lamps and UV light sources </w:t>
      </w:r>
      <w:r w:rsidR="00DB4272">
        <w:t>defined as</w:t>
      </w:r>
      <w:r w:rsidR="000079B1">
        <w:t xml:space="preserve">: </w:t>
      </w:r>
    </w:p>
    <w:p w14:paraId="57FA781B" w14:textId="77777777" w:rsidR="000079B1" w:rsidRPr="00DF59FE" w:rsidRDefault="000079B1" w:rsidP="00DF59FE">
      <w:pPr>
        <w:pStyle w:val="ListParagraph"/>
        <w:numPr>
          <w:ilvl w:val="0"/>
          <w:numId w:val="37"/>
        </w:numPr>
        <w:spacing w:before="0"/>
        <w:rPr>
          <w:i/>
          <w:iCs/>
        </w:rPr>
      </w:pPr>
      <w:r>
        <w:t xml:space="preserve">High Pressure Sodium (vapour) lamps (HPS) for horticulture lighting, </w:t>
      </w:r>
    </w:p>
    <w:p w14:paraId="46DF5A53" w14:textId="6CA219E2" w:rsidR="000079B1" w:rsidRPr="00DF59FE" w:rsidRDefault="000079B1" w:rsidP="00DB4272">
      <w:pPr>
        <w:pStyle w:val="ListParagraph"/>
        <w:numPr>
          <w:ilvl w:val="0"/>
          <w:numId w:val="37"/>
        </w:numPr>
        <w:spacing w:before="0"/>
        <w:rPr>
          <w:i/>
          <w:iCs/>
        </w:rPr>
      </w:pPr>
      <w:r>
        <w:t>Medium and high-pressure UV lamps</w:t>
      </w:r>
      <w:r w:rsidR="00530A11">
        <w:t xml:space="preserve"> for curing, disinfection of water and surfaces, day simulation for zoo animals, etc…</w:t>
      </w:r>
    </w:p>
    <w:p w14:paraId="08270A98" w14:textId="42CA9397" w:rsidR="00DB4272" w:rsidRPr="00530A11" w:rsidRDefault="00DB4272" w:rsidP="00DF59FE">
      <w:pPr>
        <w:pStyle w:val="ListParagraph"/>
        <w:numPr>
          <w:ilvl w:val="0"/>
          <w:numId w:val="37"/>
        </w:numPr>
        <w:spacing w:before="0"/>
        <w:rPr>
          <w:i/>
          <w:iCs/>
        </w:rPr>
      </w:pPr>
      <w:r>
        <w:t>Short-arc Hg lamps</w:t>
      </w:r>
      <w:r w:rsidR="00530A11">
        <w:t xml:space="preserve"> for projection, studio, stage lighting, microlithography for semiconductor production, etc…</w:t>
      </w:r>
    </w:p>
    <w:p w14:paraId="1C553FDF" w14:textId="67593151" w:rsidR="00A400DC" w:rsidRPr="00A400DC" w:rsidRDefault="00A400DC" w:rsidP="00672D1F">
      <w:pPr>
        <w:rPr>
          <w:i/>
          <w:iCs/>
        </w:rPr>
      </w:pPr>
      <w:r w:rsidRPr="00A400DC">
        <w:rPr>
          <w:b/>
          <w:bCs/>
          <w:i/>
          <w:iCs/>
        </w:rPr>
        <w:t>Replacement of mercury and mercury containing lamps is impracticable:</w:t>
      </w:r>
      <w:r w:rsidRPr="00A400DC">
        <w:rPr>
          <w:i/>
          <w:iCs/>
        </w:rPr>
        <w:t xml:space="preserve"> </w:t>
      </w:r>
    </w:p>
    <w:p w14:paraId="37991AFF" w14:textId="77777777" w:rsidR="00A400DC" w:rsidRPr="00A400DC" w:rsidRDefault="00A400DC" w:rsidP="00A400DC">
      <w:pPr>
        <w:pStyle w:val="ListParagraph"/>
        <w:numPr>
          <w:ilvl w:val="0"/>
          <w:numId w:val="37"/>
        </w:numPr>
        <w:rPr>
          <w:i/>
          <w:iCs/>
        </w:rPr>
      </w:pPr>
      <w:r w:rsidRPr="00A400DC">
        <w:rPr>
          <w:i/>
          <w:iCs/>
        </w:rPr>
        <w:t xml:space="preserve">The lamps covered by exemption 4(f) must remain available on the EU market: </w:t>
      </w:r>
    </w:p>
    <w:p w14:paraId="75591843" w14:textId="77777777" w:rsidR="00A400DC" w:rsidRPr="00A400DC" w:rsidRDefault="00A400DC" w:rsidP="005F69C6">
      <w:pPr>
        <w:pStyle w:val="ListParagraph"/>
        <w:numPr>
          <w:ilvl w:val="1"/>
          <w:numId w:val="37"/>
        </w:numPr>
        <w:spacing w:before="0"/>
        <w:rPr>
          <w:i/>
          <w:iCs/>
        </w:rPr>
      </w:pPr>
      <w:r w:rsidRPr="00A400DC">
        <w:rPr>
          <w:i/>
          <w:iCs/>
        </w:rPr>
        <w:t>For new equipment for certain applications where no functionally suitable alternatives are available</w:t>
      </w:r>
    </w:p>
    <w:p w14:paraId="2AB5EBA8" w14:textId="63C5CBD6" w:rsidR="00A400DC" w:rsidRPr="00A400DC" w:rsidRDefault="00A400DC" w:rsidP="005F69C6">
      <w:pPr>
        <w:pStyle w:val="ListParagraph"/>
        <w:numPr>
          <w:ilvl w:val="1"/>
          <w:numId w:val="37"/>
        </w:numPr>
        <w:spacing w:before="0"/>
        <w:rPr>
          <w:i/>
          <w:iCs/>
        </w:rPr>
      </w:pPr>
      <w:r w:rsidRPr="00A400DC">
        <w:rPr>
          <w:i/>
          <w:iCs/>
        </w:rPr>
        <w:t>As spare parts for in-use equipment as replacing end-of-life lamps avoids having equipment become electronic waste before due time</w:t>
      </w:r>
      <w:r w:rsidR="00DB4272">
        <w:rPr>
          <w:i/>
          <w:iCs/>
        </w:rPr>
        <w:t>”</w:t>
      </w:r>
    </w:p>
    <w:p w14:paraId="30D89615" w14:textId="77777777" w:rsidR="007C5F0B" w:rsidRPr="00672D1F" w:rsidRDefault="007C5F0B" w:rsidP="00672D1F">
      <w:pPr>
        <w:rPr>
          <w:rStyle w:val="Standard1"/>
          <w:rFonts w:ascii="Open Sans" w:hAnsi="Open Sans" w:cs="Open Sans"/>
          <w:lang w:eastAsia="fr-FR"/>
        </w:rPr>
      </w:pPr>
    </w:p>
    <w:p w14:paraId="560A9F61" w14:textId="77777777" w:rsidR="00672D1F" w:rsidRPr="009F5D18" w:rsidRDefault="00672D1F" w:rsidP="00F73789">
      <w:pPr>
        <w:pStyle w:val="Heading1"/>
        <w:rPr>
          <w:rStyle w:val="Standard1"/>
          <w:rFonts w:ascii="Open Sans" w:hAnsi="Open Sans" w:cs="Open Sans"/>
          <w:lang w:eastAsia="fr-FR"/>
        </w:rPr>
      </w:pPr>
      <w:r w:rsidRPr="009F5D18">
        <w:rPr>
          <w:rStyle w:val="Standard1"/>
          <w:rFonts w:ascii="Open Sans" w:hAnsi="Open Sans" w:cs="Open Sans"/>
          <w:lang w:eastAsia="fr-FR"/>
        </w:rPr>
        <w:t>Questions</w:t>
      </w:r>
    </w:p>
    <w:p w14:paraId="4D4CBF11" w14:textId="6C224592" w:rsidR="00EE3356" w:rsidRPr="00DF59FE" w:rsidRDefault="00C50B89" w:rsidP="00DF59FE">
      <w:pPr>
        <w:numPr>
          <w:ilvl w:val="0"/>
          <w:numId w:val="28"/>
        </w:numPr>
        <w:rPr>
          <w:rStyle w:val="Standard1"/>
          <w:rFonts w:ascii="Open Sans" w:hAnsi="Open Sans" w:cs="Open Sans"/>
          <w:lang w:eastAsia="fr-FR"/>
        </w:rPr>
      </w:pPr>
      <w:bookmarkStart w:id="2" w:name="_Ref50047031"/>
      <w:r w:rsidRPr="00C34CAD">
        <w:rPr>
          <w:rStyle w:val="Standard1"/>
          <w:rFonts w:ascii="Open Sans" w:hAnsi="Open Sans" w:cs="Open Sans"/>
          <w:lang w:eastAsia="fr-FR"/>
        </w:rPr>
        <w:t>VDMA</w:t>
      </w:r>
      <w:r w:rsidR="00D43CEA" w:rsidRPr="00C34CAD">
        <w:rPr>
          <w:rStyle w:val="Standard1"/>
          <w:rFonts w:ascii="Open Sans" w:hAnsi="Open Sans" w:cs="Open Sans"/>
          <w:lang w:eastAsia="fr-FR"/>
        </w:rPr>
        <w:t xml:space="preserve"> and LightingEurop</w:t>
      </w:r>
      <w:r w:rsidR="00C92EBF">
        <w:rPr>
          <w:rStyle w:val="Standard1"/>
          <w:rFonts w:ascii="Open Sans" w:hAnsi="Open Sans" w:cs="Open Sans"/>
          <w:lang w:eastAsia="fr-FR"/>
        </w:rPr>
        <w:t>e</w:t>
      </w:r>
      <w:r w:rsidR="00C92EBF">
        <w:rPr>
          <w:rStyle w:val="Standard1"/>
          <w:rFonts w:ascii="Open Sans" w:hAnsi="Open Sans" w:cs="Open Sans"/>
          <w:lang w:eastAsia="fr-FR"/>
        </w:rPr>
        <w:fldChar w:fldCharType="begin"/>
      </w:r>
      <w:r w:rsidR="00C92EBF">
        <w:rPr>
          <w:rStyle w:val="Standard1"/>
          <w:rFonts w:ascii="Open Sans" w:hAnsi="Open Sans" w:cs="Open Sans"/>
          <w:lang w:eastAsia="fr-FR"/>
        </w:rPr>
        <w:instrText xml:space="preserve"> NOTEREF _Ref69296263 \f \h </w:instrText>
      </w:r>
      <w:r w:rsidR="00C92EBF">
        <w:rPr>
          <w:rStyle w:val="Standard1"/>
          <w:rFonts w:ascii="Open Sans" w:hAnsi="Open Sans" w:cs="Open Sans"/>
          <w:lang w:eastAsia="fr-FR"/>
        </w:rPr>
      </w:r>
      <w:r w:rsidR="00C92EBF">
        <w:rPr>
          <w:rStyle w:val="Standard1"/>
          <w:rFonts w:ascii="Open Sans" w:hAnsi="Open Sans" w:cs="Open Sans"/>
          <w:lang w:eastAsia="fr-FR"/>
        </w:rPr>
        <w:fldChar w:fldCharType="separate"/>
      </w:r>
      <w:r w:rsidR="00C92EBF" w:rsidRPr="00C92EBF">
        <w:rPr>
          <w:rStyle w:val="FootnoteReference"/>
        </w:rPr>
        <w:t>2</w:t>
      </w:r>
      <w:r w:rsidR="00C92EBF">
        <w:rPr>
          <w:rStyle w:val="Standard1"/>
          <w:rFonts w:ascii="Open Sans" w:hAnsi="Open Sans" w:cs="Open Sans"/>
          <w:lang w:eastAsia="fr-FR"/>
        </w:rPr>
        <w:fldChar w:fldCharType="end"/>
      </w:r>
      <w:r w:rsidR="00C92EBF">
        <w:rPr>
          <w:rStyle w:val="Standard1"/>
          <w:rFonts w:ascii="Open Sans" w:hAnsi="Open Sans" w:cs="Open Sans"/>
          <w:lang w:eastAsia="fr-FR"/>
        </w:rPr>
        <w:t xml:space="preserve"> </w:t>
      </w:r>
      <w:r w:rsidR="00672D1F" w:rsidRPr="00C34CAD">
        <w:rPr>
          <w:rStyle w:val="Standard1"/>
          <w:rFonts w:ascii="Open Sans" w:hAnsi="Open Sans" w:cs="Open Sans"/>
          <w:lang w:eastAsia="fr-FR"/>
        </w:rPr>
        <w:t xml:space="preserve">requested the renewal </w:t>
      </w:r>
      <w:r w:rsidR="008E61BA" w:rsidRPr="00C34CAD">
        <w:rPr>
          <w:rStyle w:val="Standard1"/>
          <w:rFonts w:ascii="Open Sans" w:hAnsi="Open Sans" w:cs="Open Sans"/>
          <w:lang w:eastAsia="fr-FR"/>
        </w:rPr>
        <w:t>of the above</w:t>
      </w:r>
      <w:r w:rsidR="00672D1F" w:rsidRPr="00C34CAD">
        <w:rPr>
          <w:rStyle w:val="Standard1"/>
          <w:rFonts w:ascii="Open Sans" w:hAnsi="Open Sans" w:cs="Open Sans"/>
          <w:lang w:eastAsia="fr-FR"/>
        </w:rPr>
        <w:t xml:space="preserve"> exemption</w:t>
      </w:r>
      <w:r w:rsidR="00543E0E" w:rsidRPr="00C34CAD">
        <w:rPr>
          <w:rStyle w:val="Standard1"/>
          <w:rFonts w:ascii="Open Sans" w:hAnsi="Open Sans" w:cs="Open Sans"/>
          <w:lang w:eastAsia="fr-FR"/>
        </w:rPr>
        <w:t xml:space="preserve"> </w:t>
      </w:r>
      <w:r w:rsidRPr="00C34CAD">
        <w:rPr>
          <w:rStyle w:val="Standard1"/>
          <w:rFonts w:ascii="Open Sans" w:hAnsi="Open Sans" w:cs="Open Sans"/>
          <w:lang w:eastAsia="fr-FR"/>
        </w:rPr>
        <w:t xml:space="preserve">for the maximum validity periods </w:t>
      </w:r>
      <w:r w:rsidR="00D43CEA" w:rsidRPr="00C34CAD">
        <w:rPr>
          <w:rStyle w:val="Standard1"/>
          <w:rFonts w:ascii="Open Sans" w:hAnsi="Open Sans" w:cs="Open Sans"/>
          <w:lang w:eastAsia="fr-FR"/>
        </w:rPr>
        <w:t xml:space="preserve">with the same scope and wording </w:t>
      </w:r>
      <w:r w:rsidRPr="00C34CAD">
        <w:rPr>
          <w:rStyle w:val="Standard1"/>
          <w:rFonts w:ascii="Open Sans" w:hAnsi="Open Sans" w:cs="Open Sans"/>
          <w:lang w:eastAsia="fr-FR"/>
        </w:rPr>
        <w:t>for all EEE of cat. 3 and 5</w:t>
      </w:r>
      <w:r w:rsidR="00493B20">
        <w:rPr>
          <w:rStyle w:val="Standard1"/>
          <w:rFonts w:ascii="Open Sans" w:hAnsi="Open Sans" w:cs="Open Sans"/>
          <w:lang w:eastAsia="fr-FR"/>
        </w:rPr>
        <w:t xml:space="preserve"> </w:t>
      </w:r>
      <w:r w:rsidR="00D43CEA" w:rsidRPr="00C34CAD">
        <w:rPr>
          <w:rStyle w:val="Standard1"/>
          <w:rFonts w:ascii="Open Sans" w:hAnsi="Open Sans" w:cs="Open Sans"/>
          <w:lang w:eastAsia="fr-FR"/>
        </w:rPr>
        <w:t>(VDMA) and</w:t>
      </w:r>
      <w:r w:rsidR="00CD30DC" w:rsidRPr="00DF59FE">
        <w:rPr>
          <w:rStyle w:val="Standard1"/>
          <w:rFonts w:ascii="Open Sans" w:hAnsi="Open Sans" w:cs="Open Sans"/>
          <w:lang w:eastAsia="fr-FR"/>
        </w:rPr>
        <w:t xml:space="preserve"> </w:t>
      </w:r>
      <w:r w:rsidR="00EE3356" w:rsidRPr="00DF59FE">
        <w:rPr>
          <w:rStyle w:val="Standard1"/>
          <w:rFonts w:ascii="Open Sans" w:hAnsi="Open Sans" w:cs="Open Sans"/>
          <w:lang w:eastAsia="fr-FR"/>
        </w:rPr>
        <w:t xml:space="preserve">cat. </w:t>
      </w:r>
      <w:r w:rsidR="008A3F81" w:rsidRPr="00DF59FE">
        <w:rPr>
          <w:rStyle w:val="Standard1"/>
          <w:rFonts w:ascii="Open Sans" w:hAnsi="Open Sans" w:cs="Open Sans"/>
          <w:lang w:eastAsia="fr-FR"/>
        </w:rPr>
        <w:t>1-1</w:t>
      </w:r>
      <w:r w:rsidR="007C5F0B" w:rsidRPr="00DF59FE">
        <w:rPr>
          <w:rStyle w:val="Standard1"/>
          <w:rFonts w:ascii="Open Sans" w:hAnsi="Open Sans" w:cs="Open Sans"/>
          <w:lang w:eastAsia="fr-FR"/>
        </w:rPr>
        <w:t>0</w:t>
      </w:r>
      <w:r w:rsidR="00D26F39" w:rsidRPr="00DF59FE">
        <w:rPr>
          <w:rStyle w:val="Standard1"/>
          <w:rFonts w:ascii="Open Sans" w:hAnsi="Open Sans" w:cs="Open Sans"/>
          <w:lang w:eastAsia="fr-FR"/>
        </w:rPr>
        <w:t xml:space="preserve"> </w:t>
      </w:r>
      <w:r w:rsidR="00D43CEA" w:rsidRPr="00DF59FE">
        <w:rPr>
          <w:rStyle w:val="Standard1"/>
          <w:rFonts w:ascii="Open Sans" w:hAnsi="Open Sans" w:cs="Open Sans"/>
          <w:lang w:eastAsia="fr-FR"/>
        </w:rPr>
        <w:t>(LEU)</w:t>
      </w:r>
      <w:bookmarkEnd w:id="2"/>
      <w:r w:rsidR="008A3F81" w:rsidRPr="00DF59FE">
        <w:rPr>
          <w:rStyle w:val="Standard1"/>
          <w:rFonts w:ascii="Open Sans" w:hAnsi="Open Sans" w:cs="Open Sans"/>
          <w:lang w:eastAsia="fr-FR"/>
        </w:rPr>
        <w:t>.</w:t>
      </w:r>
    </w:p>
    <w:p w14:paraId="0FB8AD8A" w14:textId="77777777"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Please let us know whether you support or disagree with the wording, scope and re-quested duration of the exemption. To support your views, please provide detailed technical argumentation / evidence in line with the criteria4 in Art. 5(1)(a).</w:t>
      </w:r>
    </w:p>
    <w:p w14:paraId="3AE638D0" w14:textId="77777777" w:rsidR="00672D1F" w:rsidRP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70231A80" w14:textId="3220377E" w:rsidR="00CF138A" w:rsidRDefault="00CF138A" w:rsidP="008A3F81">
      <w:pPr>
        <w:rPr>
          <w:rStyle w:val="Standard1"/>
          <w:rFonts w:ascii="Open Sans" w:hAnsi="Open Sans" w:cs="Open Sans"/>
          <w:lang w:eastAsia="fr-FR"/>
        </w:rPr>
      </w:pPr>
    </w:p>
    <w:p w14:paraId="2D1E4773" w14:textId="39B5C8C2"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 xml:space="preserve">Please provide information concerning possible substitutes or elimination possibilities at present or in the future so that the requested exemption could be restricted or revoked. </w:t>
      </w:r>
    </w:p>
    <w:p w14:paraId="7DA7CFFB"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29E2BBC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7A4ABB33"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0A2C10B5" w14:textId="77777777" w:rsidR="00EE3356" w:rsidRDefault="00EE3356" w:rsidP="00EE3356">
      <w:pPr>
        <w:ind w:left="720"/>
        <w:rPr>
          <w:rStyle w:val="Standard1"/>
          <w:rFonts w:ascii="Open Sans" w:hAnsi="Open Sans" w:cs="Open Sans"/>
          <w:lang w:eastAsia="fr-FR"/>
        </w:rPr>
      </w:pPr>
    </w:p>
    <w:p w14:paraId="1FFC81AD" w14:textId="04534934"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exemption? </w:t>
      </w:r>
    </w:p>
    <w:p w14:paraId="184829B8" w14:textId="77777777" w:rsidR="00EE3356" w:rsidRDefault="00EE3356" w:rsidP="00EE3356">
      <w:pPr>
        <w:ind w:left="720"/>
        <w:rPr>
          <w:rStyle w:val="Standard1"/>
          <w:rFonts w:ascii="Open Sans" w:hAnsi="Open Sans" w:cs="Open Sans"/>
          <w:lang w:eastAsia="fr-FR"/>
        </w:rPr>
      </w:pPr>
    </w:p>
    <w:p w14:paraId="35077DEC" w14:textId="0A5C76D9"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7B76A9C9"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125C892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030707E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MRI devices, etc.</w:t>
      </w:r>
    </w:p>
    <w:p w14:paraId="3FC79F48" w14:textId="1ABE4789"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(e.g. private</w:t>
      </w:r>
      <w:r w:rsidR="00543E0E">
        <w:rPr>
          <w:rStyle w:val="Standard1"/>
          <w:rFonts w:ascii="Open Sans" w:hAnsi="Open Sans" w:cs="Open Sans"/>
          <w:lang w:eastAsia="fr-FR"/>
        </w:rPr>
        <w:t>, public, indus</w:t>
      </w:r>
      <w:r w:rsidRPr="00672D1F">
        <w:rPr>
          <w:rStyle w:val="Standard1"/>
          <w:rFonts w:ascii="Open Sans" w:hAnsi="Open Sans" w:cs="Open Sans"/>
          <w:lang w:eastAsia="fr-FR"/>
        </w:rPr>
        <w:t>try: manufacturers, suppliers, retailers).</w:t>
      </w:r>
    </w:p>
    <w:p w14:paraId="7EDB66FF" w14:textId="77777777" w:rsidR="00EE3356" w:rsidRDefault="00EE3356" w:rsidP="00EE3356">
      <w:pPr>
        <w:ind w:left="720"/>
        <w:rPr>
          <w:rStyle w:val="Standard1"/>
          <w:rFonts w:ascii="Open Sans" w:hAnsi="Open Sans" w:cs="Open Sans"/>
          <w:lang w:eastAsia="fr-FR"/>
        </w:rPr>
      </w:pPr>
    </w:p>
    <w:p w14:paraId="68366FFD" w14:textId="16CB848D" w:rsidR="00672D1F" w:rsidRPr="00672D1F" w:rsidRDefault="00EE3356" w:rsidP="00D05732">
      <w:pPr>
        <w:numPr>
          <w:ilvl w:val="0"/>
          <w:numId w:val="35"/>
        </w:numPr>
        <w:rPr>
          <w:rStyle w:val="Standard1"/>
          <w:rFonts w:ascii="Open Sans" w:hAnsi="Open Sans" w:cs="Open Sans"/>
          <w:lang w:eastAsia="fr-FR"/>
        </w:rPr>
      </w:pPr>
      <w:r>
        <w:rPr>
          <w:rStyle w:val="Standard1"/>
          <w:rFonts w:ascii="Open Sans" w:hAnsi="Open Sans" w:cs="Open Sans"/>
          <w:lang w:eastAsia="fr-FR"/>
        </w:rPr>
        <w:t>Any additional information which you would like to provide?</w:t>
      </w:r>
    </w:p>
    <w:p w14:paraId="0B731DCC" w14:textId="77777777" w:rsidR="008545B3" w:rsidRDefault="008545B3" w:rsidP="00672D1F">
      <w:pPr>
        <w:rPr>
          <w:rStyle w:val="Standard1"/>
          <w:rFonts w:ascii="Open Sans" w:hAnsi="Open Sans" w:cs="Open Sans"/>
          <w:lang w:eastAsia="fr-FR"/>
        </w:rPr>
      </w:pPr>
    </w:p>
    <w:p w14:paraId="5A4AC944" w14:textId="77777777" w:rsidR="00672D1F"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02180B5A" w14:textId="77777777" w:rsidR="00EE7D6A"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 xml:space="preserve">Please do not forget to provide your contact details (Name, Organisation, e-mail and phone number) so that </w:t>
      </w:r>
      <w:r w:rsidR="00D05732" w:rsidRPr="00EE3356">
        <w:rPr>
          <w:rStyle w:val="Standard1"/>
          <w:rFonts w:ascii="Open Sans" w:hAnsi="Open Sans" w:cs="Open Sans"/>
          <w:b/>
          <w:lang w:eastAsia="fr-FR"/>
        </w:rPr>
        <w:t xml:space="preserve">the project team </w:t>
      </w:r>
      <w:r w:rsidRPr="00EE3356">
        <w:rPr>
          <w:rStyle w:val="Standard1"/>
          <w:rFonts w:ascii="Open Sans" w:hAnsi="Open Sans" w:cs="Open Sans"/>
          <w:b/>
          <w:lang w:eastAsia="fr-FR"/>
        </w:rPr>
        <w:t>can contact you in case there are questions concerning your contribution.</w:t>
      </w:r>
    </w:p>
    <w:sectPr w:rsidR="00EE7D6A" w:rsidRPr="00EE3356" w:rsidSect="00950A63">
      <w:headerReference w:type="even" r:id="rId8"/>
      <w:headerReference w:type="default" r:id="rId9"/>
      <w:footerReference w:type="even" r:id="rId10"/>
      <w:footerReference w:type="default" r:id="rId11"/>
      <w:headerReference w:type="first" r:id="rId12"/>
      <w:footerReference w:type="first" r:id="rId13"/>
      <w:pgSz w:w="11906" w:h="16838" w:code="9"/>
      <w:pgMar w:top="1097" w:right="851" w:bottom="851" w:left="851" w:header="284" w:footer="465"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70826" w14:textId="77777777" w:rsidR="00A70AC6" w:rsidRDefault="00A70AC6" w:rsidP="00AA6F34">
      <w:pPr>
        <w:spacing w:before="0" w:line="240" w:lineRule="auto"/>
        <w:rPr>
          <w:rFonts w:cs="Times New Roman"/>
        </w:rPr>
      </w:pPr>
      <w:r>
        <w:rPr>
          <w:rFonts w:cs="Times New Roman"/>
        </w:rPr>
        <w:separator/>
      </w:r>
    </w:p>
  </w:endnote>
  <w:endnote w:type="continuationSeparator" w:id="0">
    <w:p w14:paraId="0B92E8DC" w14:textId="77777777" w:rsidR="00A70AC6" w:rsidRDefault="00A70AC6"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3"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swald">
    <w:altName w:val="Cambria Math"/>
    <w:charset w:val="00"/>
    <w:family w:val="auto"/>
    <w:pitch w:val="variable"/>
    <w:sig w:usb0="00000001"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D05732" w:rsidRPr="00082399" w14:paraId="28A308B4" w14:textId="77777777" w:rsidTr="00CF0A01">
      <w:trPr>
        <w:jc w:val="center"/>
      </w:trPr>
      <w:tc>
        <w:tcPr>
          <w:tcW w:w="1415" w:type="dxa"/>
          <w:shd w:val="clear" w:color="auto" w:fill="auto"/>
        </w:tcPr>
        <w:p w14:paraId="2BD4D581" w14:textId="4EF55E16" w:rsidR="00D05732" w:rsidRPr="00082399" w:rsidRDefault="00AF12FA"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10FAA53F" wp14:editId="68A64D6E">
                <wp:extent cx="596265" cy="254635"/>
                <wp:effectExtent l="0" t="0" r="0" b="0"/>
                <wp:docPr id="3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1F0F8D4F" w14:textId="77777777" w:rsidR="00D05732" w:rsidRPr="00082399" w:rsidRDefault="00D05732"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2ACC234" w14:textId="6FA6CBE0"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2</w:t>
          </w:r>
          <w:r w:rsidRPr="00082399">
            <w:rPr>
              <w:color w:val="4196C6"/>
              <w:sz w:val="18"/>
              <w:szCs w:val="18"/>
              <w:lang w:val="fr-FR"/>
            </w:rPr>
            <w:fldChar w:fldCharType="end"/>
          </w:r>
        </w:p>
      </w:tc>
    </w:tr>
  </w:tbl>
  <w:p w14:paraId="1191A3A1"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950A63" w:rsidRPr="00082399" w14:paraId="03B632F3" w14:textId="77777777" w:rsidTr="002374AE">
      <w:trPr>
        <w:jc w:val="center"/>
      </w:trPr>
      <w:tc>
        <w:tcPr>
          <w:tcW w:w="1415" w:type="dxa"/>
          <w:shd w:val="clear" w:color="auto" w:fill="auto"/>
        </w:tcPr>
        <w:p w14:paraId="1D8D8E2B" w14:textId="77777777" w:rsidR="00950A63" w:rsidRPr="00082399" w:rsidRDefault="00950A63" w:rsidP="00950A63">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FCD444E" wp14:editId="00C24EBD">
                <wp:extent cx="596265" cy="254635"/>
                <wp:effectExtent l="0" t="0" r="0" b="0"/>
                <wp:docPr id="4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5A93C463" w14:textId="77777777" w:rsidR="00950A63" w:rsidRPr="00082399" w:rsidRDefault="00950A63" w:rsidP="00950A63">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71E1EFB7" w14:textId="227EF4EB" w:rsidR="00950A63" w:rsidRPr="00082399" w:rsidRDefault="00950A63" w:rsidP="00950A63">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F59FE">
            <w:rPr>
              <w:noProof/>
              <w:color w:val="4196C6"/>
              <w:sz w:val="18"/>
              <w:szCs w:val="18"/>
              <w:lang w:val="en-US"/>
            </w:rPr>
            <w:t>1</w:t>
          </w:r>
          <w:r w:rsidRPr="00082399">
            <w:rPr>
              <w:color w:val="4196C6"/>
              <w:sz w:val="18"/>
              <w:szCs w:val="18"/>
              <w:lang w:val="fr-FR"/>
            </w:rPr>
            <w:fldChar w:fldCharType="end"/>
          </w:r>
        </w:p>
      </w:tc>
    </w:tr>
  </w:tbl>
  <w:p w14:paraId="77E4D756"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807583" w:rsidRPr="00082399" w14:paraId="3FB62EF8" w14:textId="77777777" w:rsidTr="00811C2B">
      <w:trPr>
        <w:jc w:val="center"/>
      </w:trPr>
      <w:tc>
        <w:tcPr>
          <w:tcW w:w="1415" w:type="dxa"/>
          <w:shd w:val="clear" w:color="auto" w:fill="auto"/>
        </w:tcPr>
        <w:p w14:paraId="61CD71BC" w14:textId="01188F25" w:rsidR="00807583" w:rsidRPr="00082399" w:rsidRDefault="00AF12FA"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72B5013" wp14:editId="4C87641D">
                <wp:extent cx="596265" cy="254635"/>
                <wp:effectExtent l="0" t="0" r="0" b="0"/>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21911F0D" w14:textId="77777777" w:rsidR="00807583" w:rsidRPr="00082399" w:rsidRDefault="0008239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576102D3" w14:textId="0053A750"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1</w:t>
          </w:r>
          <w:r w:rsidRPr="00082399">
            <w:rPr>
              <w:color w:val="4196C6"/>
              <w:sz w:val="18"/>
              <w:szCs w:val="18"/>
              <w:lang w:val="fr-FR"/>
            </w:rPr>
            <w:fldChar w:fldCharType="end"/>
          </w:r>
        </w:p>
      </w:tc>
    </w:tr>
  </w:tbl>
  <w:p w14:paraId="4B34C386"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DC722" w14:textId="77777777" w:rsidR="00A70AC6" w:rsidRDefault="00A70AC6" w:rsidP="00AA6F34">
      <w:pPr>
        <w:spacing w:before="0" w:line="240" w:lineRule="auto"/>
        <w:rPr>
          <w:rFonts w:cs="Times New Roman"/>
        </w:rPr>
      </w:pPr>
      <w:r>
        <w:rPr>
          <w:rFonts w:cs="Times New Roman"/>
        </w:rPr>
        <w:separator/>
      </w:r>
    </w:p>
  </w:footnote>
  <w:footnote w:type="continuationSeparator" w:id="0">
    <w:p w14:paraId="1D953595" w14:textId="77777777" w:rsidR="00A70AC6" w:rsidRDefault="00A70AC6" w:rsidP="00AA6F34">
      <w:pPr>
        <w:spacing w:before="0" w:line="240" w:lineRule="auto"/>
        <w:rPr>
          <w:rFonts w:cs="Times New Roman"/>
        </w:rPr>
      </w:pPr>
      <w:r>
        <w:rPr>
          <w:rFonts w:cs="Times New Roman"/>
        </w:rPr>
        <w:continuationSeparator/>
      </w:r>
    </w:p>
  </w:footnote>
  <w:footnote w:type="continuationNotice" w:id="1">
    <w:p w14:paraId="17CD4CDF" w14:textId="77777777" w:rsidR="00A70AC6" w:rsidRDefault="00A70AC6">
      <w:pPr>
        <w:spacing w:before="0" w:line="240" w:lineRule="auto"/>
        <w:rPr>
          <w:rFonts w:cs="Times New Roman"/>
        </w:rPr>
      </w:pPr>
    </w:p>
  </w:footnote>
  <w:footnote w:id="2">
    <w:p w14:paraId="53ABD1E0" w14:textId="43B15A7D" w:rsidR="00672D1F" w:rsidRPr="00BA495E" w:rsidRDefault="00672D1F">
      <w:pPr>
        <w:pStyle w:val="FootnoteText"/>
        <w:rPr>
          <w:lang w:val="en-US"/>
        </w:rPr>
      </w:pPr>
      <w:r>
        <w:rPr>
          <w:rStyle w:val="FootnoteReference"/>
        </w:rPr>
        <w:footnoteRef/>
      </w:r>
      <w:r>
        <w:t xml:space="preserve"> It is implemented through </w:t>
      </w:r>
      <w:r w:rsidRPr="00672D1F">
        <w:t>the specific contract 070201/2020/832829/ENV.B.3 under the Framew</w:t>
      </w:r>
      <w:r w:rsidR="00DB4272">
        <w:t>o</w:t>
      </w:r>
      <w:r w:rsidRPr="00672D1F">
        <w:t>rk contract ENV.B.3/FRA/2019/0017</w:t>
      </w:r>
    </w:p>
  </w:footnote>
  <w:footnote w:id="3">
    <w:p w14:paraId="019F6AA7" w14:textId="0F0E4ED7" w:rsidR="00672D1F" w:rsidRPr="00672D1F" w:rsidRDefault="00672D1F">
      <w:pPr>
        <w:pStyle w:val="FootnoteText"/>
        <w:rPr>
          <w:lang w:val="fr-FR"/>
        </w:rPr>
      </w:pPr>
      <w:r>
        <w:rPr>
          <w:rStyle w:val="FootnoteReference"/>
        </w:rPr>
        <w:footnoteRef/>
      </w:r>
      <w:r w:rsidRPr="00BA495E">
        <w:rPr>
          <w:lang w:val="fr-FR"/>
        </w:rPr>
        <w:t xml:space="preserve"> Exemption </w:t>
      </w:r>
      <w:proofErr w:type="spellStart"/>
      <w:r w:rsidRPr="00BA495E">
        <w:rPr>
          <w:lang w:val="fr-FR"/>
        </w:rPr>
        <w:t>request</w:t>
      </w:r>
      <w:proofErr w:type="spellEnd"/>
      <w:r w:rsidRPr="00BA495E">
        <w:rPr>
          <w:lang w:val="fr-FR"/>
        </w:rPr>
        <w:t xml:space="preserve"> </w:t>
      </w:r>
      <w:proofErr w:type="spellStart"/>
      <w:r w:rsidRPr="00BA495E">
        <w:rPr>
          <w:lang w:val="fr-FR"/>
        </w:rPr>
        <w:t>available</w:t>
      </w:r>
      <w:proofErr w:type="spellEnd"/>
      <w:r w:rsidRPr="00BA495E">
        <w:rPr>
          <w:lang w:val="fr-FR"/>
        </w:rPr>
        <w:t xml:space="preserve"> at </w:t>
      </w:r>
      <w:hyperlink r:id="rId1" w:history="1">
        <w:r w:rsidR="00C92EBF">
          <w:rPr>
            <w:rStyle w:val="Hyperlink"/>
          </w:rPr>
          <w:t>RoHS Annex III exemption evaluation - Stakeholder consultation (biois.eu)</w:t>
        </w:r>
      </w:hyperlink>
    </w:p>
  </w:footnote>
  <w:footnote w:id="4">
    <w:p w14:paraId="5BCB27D6" w14:textId="12E842FA" w:rsidR="00672D1F" w:rsidRPr="00672D1F" w:rsidRDefault="00672D1F">
      <w:pPr>
        <w:pStyle w:val="FootnoteText"/>
        <w:rPr>
          <w:lang w:val="fr-FR"/>
        </w:rPr>
      </w:pPr>
      <w:r>
        <w:rPr>
          <w:rStyle w:val="FootnoteReference"/>
        </w:rPr>
        <w:footnoteRef/>
      </w:r>
      <w:r w:rsidRPr="00BA495E">
        <w:rPr>
          <w:lang w:val="fr-FR"/>
        </w:rPr>
        <w:t xml:space="preserve"> Clarification questionnaire </w:t>
      </w:r>
      <w:proofErr w:type="spellStart"/>
      <w:r w:rsidRPr="00BA495E">
        <w:rPr>
          <w:lang w:val="fr-FR"/>
        </w:rPr>
        <w:t>available</w:t>
      </w:r>
      <w:proofErr w:type="spellEnd"/>
      <w:r w:rsidRPr="00BA495E">
        <w:rPr>
          <w:lang w:val="fr-FR"/>
        </w:rPr>
        <w:t xml:space="preserve"> at </w:t>
      </w:r>
      <w:hyperlink r:id="rId2" w:history="1">
        <w:r w:rsidR="00C92EBF">
          <w:rPr>
            <w:rStyle w:val="Hyperlink"/>
          </w:rPr>
          <w:t>RoHS Annex III exemption evaluation - Stakeholder consultation (biois.eu)</w:t>
        </w:r>
      </w:hyperlink>
    </w:p>
  </w:footnote>
  <w:footnote w:id="5">
    <w:p w14:paraId="53638E60" w14:textId="77777777" w:rsidR="00F73789" w:rsidRPr="00D05732" w:rsidRDefault="00F73789" w:rsidP="00F73789">
      <w:pPr>
        <w:pStyle w:val="footnote"/>
        <w:rPr>
          <w:lang w:val="fr-FR"/>
        </w:rPr>
      </w:pPr>
      <w:r>
        <w:rPr>
          <w:rStyle w:val="FootnoteReference"/>
        </w:rPr>
        <w:footnoteRef/>
      </w:r>
      <w:r w:rsidRPr="00BA495E">
        <w:rPr>
          <w:lang w:val="fr-FR"/>
        </w:rPr>
        <w:t xml:space="preserve"> Directive 2011/65/EU (RoHS) </w:t>
      </w:r>
      <w:proofErr w:type="spellStart"/>
      <w:r w:rsidRPr="00BA495E">
        <w:rPr>
          <w:lang w:val="fr-FR"/>
        </w:rPr>
        <w:t>available</w:t>
      </w:r>
      <w:proofErr w:type="spellEnd"/>
      <w:r w:rsidRPr="00BA495E">
        <w:rPr>
          <w:lang w:val="fr-FR"/>
        </w:rPr>
        <w:t xml:space="preserve"> at </w:t>
      </w:r>
      <w:hyperlink r:id="rId3" w:history="1">
        <w:r w:rsidRPr="00BA495E">
          <w:rPr>
            <w:rStyle w:val="Hyperlink"/>
            <w:lang w:val="fr-FR"/>
          </w:rPr>
          <w:t>http://eur-lex.europa.eu/LexUriServ/LexUriServ.do?uri=CELEX:32011L0065:EN:NOT</w:t>
        </w:r>
      </w:hyperlink>
      <w:r w:rsidRPr="00BA495E">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87932" w14:textId="6DEA88C2" w:rsidR="00A33112" w:rsidRPr="00950A63" w:rsidRDefault="00950A63" w:rsidP="00950A63">
    <w:pPr>
      <w:pStyle w:val="Header"/>
      <w:tabs>
        <w:tab w:val="clear" w:pos="4536"/>
      </w:tabs>
      <w:ind w:left="426"/>
      <w:jc w:val="right"/>
    </w:pPr>
    <w:r>
      <w:rPr>
        <w:noProof/>
        <w:sz w:val="18"/>
        <w:szCs w:val="18"/>
        <w:lang w:val="de-DE" w:eastAsia="de-DE"/>
      </w:rPr>
      <w:drawing>
        <wp:anchor distT="0" distB="0" distL="114300" distR="114300" simplePos="0" relativeHeight="251661312" behindDoc="0" locked="0" layoutInCell="1" allowOverlap="1" wp14:anchorId="3BAC2605" wp14:editId="563B58AB">
          <wp:simplePos x="0" y="0"/>
          <wp:positionH relativeFrom="column">
            <wp:posOffset>1753235</wp:posOffset>
          </wp:positionH>
          <wp:positionV relativeFrom="paragraph">
            <wp:posOffset>-11430</wp:posOffset>
          </wp:positionV>
          <wp:extent cx="774065" cy="210185"/>
          <wp:effectExtent l="0" t="0" r="0" b="0"/>
          <wp:wrapSquare wrapText="bothSides"/>
          <wp:docPr id="31"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3DC58392" wp14:editId="5D553DA5">
          <wp:simplePos x="0" y="0"/>
          <wp:positionH relativeFrom="column">
            <wp:posOffset>899160</wp:posOffset>
          </wp:positionH>
          <wp:positionV relativeFrom="paragraph">
            <wp:posOffset>-38100</wp:posOffset>
          </wp:positionV>
          <wp:extent cx="824865" cy="320675"/>
          <wp:effectExtent l="0" t="0" r="0" b="0"/>
          <wp:wrapSquare wrapText="bothSides"/>
          <wp:docPr id="32"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2A2AD954" wp14:editId="48E0450E">
          <wp:simplePos x="0" y="0"/>
          <wp:positionH relativeFrom="column">
            <wp:posOffset>0</wp:posOffset>
          </wp:positionH>
          <wp:positionV relativeFrom="paragraph">
            <wp:posOffset>0</wp:posOffset>
          </wp:positionV>
          <wp:extent cx="899160" cy="210185"/>
          <wp:effectExtent l="0" t="0" r="0" b="0"/>
          <wp:wrapSquare wrapText="bothSides"/>
          <wp:docPr id="33"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3234" w14:textId="77777777" w:rsidR="00950A63" w:rsidRDefault="00950A63" w:rsidP="00950A63">
    <w:pPr>
      <w:pStyle w:val="Header"/>
      <w:tabs>
        <w:tab w:val="clear" w:pos="4536"/>
      </w:tabs>
      <w:jc w:val="right"/>
    </w:pPr>
    <w:r>
      <w:rPr>
        <w:noProof/>
        <w:sz w:val="18"/>
        <w:szCs w:val="18"/>
        <w:lang w:val="de-DE" w:eastAsia="de-DE"/>
      </w:rPr>
      <w:drawing>
        <wp:anchor distT="0" distB="0" distL="114300" distR="114300" simplePos="0" relativeHeight="251665408" behindDoc="0" locked="0" layoutInCell="1" allowOverlap="1" wp14:anchorId="76A7A9F0" wp14:editId="192F4D1B">
          <wp:simplePos x="0" y="0"/>
          <wp:positionH relativeFrom="column">
            <wp:posOffset>1753235</wp:posOffset>
          </wp:positionH>
          <wp:positionV relativeFrom="paragraph">
            <wp:posOffset>-11430</wp:posOffset>
          </wp:positionV>
          <wp:extent cx="774065" cy="210185"/>
          <wp:effectExtent l="0" t="0" r="0" b="0"/>
          <wp:wrapSquare wrapText="bothSides"/>
          <wp:docPr id="15"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63360" behindDoc="0" locked="0" layoutInCell="1" allowOverlap="1" wp14:anchorId="46ADD475" wp14:editId="15BC6991">
          <wp:simplePos x="0" y="0"/>
          <wp:positionH relativeFrom="column">
            <wp:posOffset>899160</wp:posOffset>
          </wp:positionH>
          <wp:positionV relativeFrom="paragraph">
            <wp:posOffset>-38100</wp:posOffset>
          </wp:positionV>
          <wp:extent cx="824865" cy="320675"/>
          <wp:effectExtent l="0" t="0" r="0" b="0"/>
          <wp:wrapSquare wrapText="bothSides"/>
          <wp:docPr id="16"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4384" behindDoc="0" locked="0" layoutInCell="1" allowOverlap="1" wp14:anchorId="782AAA14" wp14:editId="17CBA945">
          <wp:simplePos x="0" y="0"/>
          <wp:positionH relativeFrom="column">
            <wp:posOffset>0</wp:posOffset>
          </wp:positionH>
          <wp:positionV relativeFrom="paragraph">
            <wp:posOffset>0</wp:posOffset>
          </wp:positionV>
          <wp:extent cx="899160" cy="210185"/>
          <wp:effectExtent l="0" t="0" r="0" b="0"/>
          <wp:wrapSquare wrapText="bothSides"/>
          <wp:docPr id="17"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2845B7E8" w14:textId="22405568" w:rsidR="00A33112" w:rsidRDefault="00A33112" w:rsidP="00A926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27F02" w14:textId="036A8EC6" w:rsidR="00A33112" w:rsidRDefault="00AF12FA"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7AA221CC" wp14:editId="6EBA7D6C">
          <wp:simplePos x="0" y="0"/>
          <wp:positionH relativeFrom="column">
            <wp:posOffset>1753235</wp:posOffset>
          </wp:positionH>
          <wp:positionV relativeFrom="paragraph">
            <wp:posOffset>-11430</wp:posOffset>
          </wp:positionV>
          <wp:extent cx="774065" cy="210185"/>
          <wp:effectExtent l="0" t="0" r="0" b="0"/>
          <wp:wrapSquare wrapText="bothSides"/>
          <wp:docPr id="3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38F78CFD" wp14:editId="651102B8">
          <wp:simplePos x="0" y="0"/>
          <wp:positionH relativeFrom="column">
            <wp:posOffset>899160</wp:posOffset>
          </wp:positionH>
          <wp:positionV relativeFrom="paragraph">
            <wp:posOffset>-38100</wp:posOffset>
          </wp:positionV>
          <wp:extent cx="824865" cy="320675"/>
          <wp:effectExtent l="0" t="0" r="0" b="0"/>
          <wp:wrapSquare wrapText="bothSides"/>
          <wp:docPr id="37"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0BE8A5BF" wp14:editId="176577C3">
          <wp:simplePos x="0" y="0"/>
          <wp:positionH relativeFrom="column">
            <wp:posOffset>0</wp:posOffset>
          </wp:positionH>
          <wp:positionV relativeFrom="paragraph">
            <wp:posOffset>0</wp:posOffset>
          </wp:positionV>
          <wp:extent cx="899160" cy="210185"/>
          <wp:effectExtent l="0" t="0" r="0" b="0"/>
          <wp:wrapSquare wrapText="bothSides"/>
          <wp:docPr id="38"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36C45000"/>
    <w:lvl w:ilvl="0" w:tplc="8CA4148C">
      <w:start w:val="1"/>
      <w:numFmt w:val="decimal"/>
      <w:pStyle w:val="Heading1"/>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2E01BA"/>
    <w:multiLevelType w:val="multilevel"/>
    <w:tmpl w:val="426EC5EC"/>
    <w:lvl w:ilvl="0">
      <w:start w:val="1"/>
      <w:numFmt w:val="decimal"/>
      <w:lvlText w:val="%1. "/>
      <w:lvlJc w:val="left"/>
      <w:pPr>
        <w:tabs>
          <w:tab w:val="num" w:pos="357"/>
        </w:tabs>
        <w:ind w:left="357" w:hanging="357"/>
      </w:pPr>
      <w:rPr>
        <w:rFonts w:hint="default"/>
      </w:rPr>
    </w:lvl>
    <w:lvl w:ilvl="1">
      <w:start w:val="1"/>
      <w:numFmt w:val="decimal"/>
      <w:pStyle w:val="Heading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
      <w:lvlJc w:val="left"/>
      <w:pPr>
        <w:tabs>
          <w:tab w:val="num" w:pos="907"/>
        </w:tabs>
        <w:ind w:left="907" w:hanging="907"/>
      </w:pPr>
      <w:rPr>
        <w:rFonts w:hint="default"/>
        <w:color w:val="00AB4D"/>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15:restartNumberingAfterBreak="0">
    <w:nsid w:val="6CC03D6F"/>
    <w:multiLevelType w:val="hybridMultilevel"/>
    <w:tmpl w:val="590463A0"/>
    <w:lvl w:ilvl="0" w:tplc="3D1223F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D63CD0"/>
    <w:multiLevelType w:val="hybridMultilevel"/>
    <w:tmpl w:val="2CBEC2DA"/>
    <w:lvl w:ilvl="0" w:tplc="92485EE0">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8"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1"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30"/>
  </w:num>
  <w:num w:numId="18">
    <w:abstractNumId w:val="11"/>
  </w:num>
  <w:num w:numId="19">
    <w:abstractNumId w:val="27"/>
  </w:num>
  <w:num w:numId="20">
    <w:abstractNumId w:val="0"/>
  </w:num>
  <w:num w:numId="21">
    <w:abstractNumId w:val="5"/>
  </w:num>
  <w:num w:numId="22">
    <w:abstractNumId w:val="15"/>
  </w:num>
  <w:num w:numId="23">
    <w:abstractNumId w:val="4"/>
  </w:num>
  <w:num w:numId="24">
    <w:abstractNumId w:val="10"/>
  </w:num>
  <w:num w:numId="25">
    <w:abstractNumId w:val="26"/>
  </w:num>
  <w:num w:numId="26">
    <w:abstractNumId w:val="28"/>
  </w:num>
  <w:num w:numId="27">
    <w:abstractNumId w:val="3"/>
  </w:num>
  <w:num w:numId="28">
    <w:abstractNumId w:val="12"/>
  </w:num>
  <w:num w:numId="29">
    <w:abstractNumId w:val="23"/>
  </w:num>
  <w:num w:numId="30">
    <w:abstractNumId w:val="16"/>
  </w:num>
  <w:num w:numId="31">
    <w:abstractNumId w:val="13"/>
  </w:num>
  <w:num w:numId="32">
    <w:abstractNumId w:val="29"/>
  </w:num>
  <w:num w:numId="33">
    <w:abstractNumId w:val="31"/>
  </w:num>
  <w:num w:numId="34">
    <w:abstractNumId w:val="25"/>
  </w:num>
  <w:num w:numId="35">
    <w:abstractNumId w:val="18"/>
  </w:num>
  <w:num w:numId="36">
    <w:abstractNumId w:val="2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revisionView w:markup="0"/>
  <w:documentProtection w:edit="forms" w:enforcement="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FA"/>
    <w:rsid w:val="000002C1"/>
    <w:rsid w:val="00000633"/>
    <w:rsid w:val="00000D15"/>
    <w:rsid w:val="000011E3"/>
    <w:rsid w:val="000021B3"/>
    <w:rsid w:val="00003FF6"/>
    <w:rsid w:val="00004B82"/>
    <w:rsid w:val="000079B1"/>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9B6"/>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A4E"/>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4AC"/>
    <w:rsid w:val="00164503"/>
    <w:rsid w:val="00164560"/>
    <w:rsid w:val="001654FC"/>
    <w:rsid w:val="00170ED2"/>
    <w:rsid w:val="00171626"/>
    <w:rsid w:val="001719CE"/>
    <w:rsid w:val="00172E91"/>
    <w:rsid w:val="0017346C"/>
    <w:rsid w:val="00173528"/>
    <w:rsid w:val="00173C49"/>
    <w:rsid w:val="001741D2"/>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7DA"/>
    <w:rsid w:val="00375F20"/>
    <w:rsid w:val="003778EE"/>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5565"/>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2E3"/>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3B20"/>
    <w:rsid w:val="00494165"/>
    <w:rsid w:val="004945B1"/>
    <w:rsid w:val="00494DBD"/>
    <w:rsid w:val="00495841"/>
    <w:rsid w:val="00497534"/>
    <w:rsid w:val="00497708"/>
    <w:rsid w:val="00497B0E"/>
    <w:rsid w:val="00497B7F"/>
    <w:rsid w:val="004A2409"/>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A11"/>
    <w:rsid w:val="00530C25"/>
    <w:rsid w:val="00531027"/>
    <w:rsid w:val="00534B3C"/>
    <w:rsid w:val="00534EC4"/>
    <w:rsid w:val="00535DE0"/>
    <w:rsid w:val="00540BAE"/>
    <w:rsid w:val="00542432"/>
    <w:rsid w:val="00542F0D"/>
    <w:rsid w:val="00543E0E"/>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4CB0"/>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2EBD"/>
    <w:rsid w:val="005F3527"/>
    <w:rsid w:val="005F46F0"/>
    <w:rsid w:val="005F565E"/>
    <w:rsid w:val="005F5819"/>
    <w:rsid w:val="005F660B"/>
    <w:rsid w:val="005F68F2"/>
    <w:rsid w:val="005F69C6"/>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3207"/>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6A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0954"/>
    <w:rsid w:val="006E24D9"/>
    <w:rsid w:val="006E4862"/>
    <w:rsid w:val="006E4897"/>
    <w:rsid w:val="006E4E62"/>
    <w:rsid w:val="006E51DB"/>
    <w:rsid w:val="006E59DC"/>
    <w:rsid w:val="006E59EC"/>
    <w:rsid w:val="006F141B"/>
    <w:rsid w:val="006F1B1A"/>
    <w:rsid w:val="006F1F97"/>
    <w:rsid w:val="006F3CB5"/>
    <w:rsid w:val="006F3FA0"/>
    <w:rsid w:val="006F4CD4"/>
    <w:rsid w:val="006F4CE4"/>
    <w:rsid w:val="006F5922"/>
    <w:rsid w:val="006F6719"/>
    <w:rsid w:val="006F6CD3"/>
    <w:rsid w:val="006F7CFD"/>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5A6E"/>
    <w:rsid w:val="007C5F0B"/>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18A"/>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3F81"/>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1BA"/>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0A63"/>
    <w:rsid w:val="009517F7"/>
    <w:rsid w:val="009524C2"/>
    <w:rsid w:val="00953168"/>
    <w:rsid w:val="00953488"/>
    <w:rsid w:val="00953B92"/>
    <w:rsid w:val="009547A7"/>
    <w:rsid w:val="00955E73"/>
    <w:rsid w:val="00957A5C"/>
    <w:rsid w:val="009620C6"/>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0DC"/>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AC6"/>
    <w:rsid w:val="00A70BC9"/>
    <w:rsid w:val="00A72681"/>
    <w:rsid w:val="00A7299F"/>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2FA"/>
    <w:rsid w:val="00AF16E5"/>
    <w:rsid w:val="00AF1C13"/>
    <w:rsid w:val="00AF1CC5"/>
    <w:rsid w:val="00AF4E17"/>
    <w:rsid w:val="00AF6A5D"/>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29B1"/>
    <w:rsid w:val="00B23BBD"/>
    <w:rsid w:val="00B247CF"/>
    <w:rsid w:val="00B24E2A"/>
    <w:rsid w:val="00B25F8C"/>
    <w:rsid w:val="00B260DA"/>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007"/>
    <w:rsid w:val="00B9623F"/>
    <w:rsid w:val="00B978C4"/>
    <w:rsid w:val="00B97C48"/>
    <w:rsid w:val="00BA03F0"/>
    <w:rsid w:val="00BA1B0F"/>
    <w:rsid w:val="00BA1C66"/>
    <w:rsid w:val="00BA1EF7"/>
    <w:rsid w:val="00BA207F"/>
    <w:rsid w:val="00BA20EC"/>
    <w:rsid w:val="00BA2896"/>
    <w:rsid w:val="00BA2974"/>
    <w:rsid w:val="00BA2F9E"/>
    <w:rsid w:val="00BA2FCD"/>
    <w:rsid w:val="00BA3434"/>
    <w:rsid w:val="00BA495E"/>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6ABB"/>
    <w:rsid w:val="00C271FF"/>
    <w:rsid w:val="00C27BB7"/>
    <w:rsid w:val="00C326E1"/>
    <w:rsid w:val="00C34CAD"/>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B89"/>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2EBF"/>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3AF"/>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30DC"/>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38A"/>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6F39"/>
    <w:rsid w:val="00D27069"/>
    <w:rsid w:val="00D2724D"/>
    <w:rsid w:val="00D27882"/>
    <w:rsid w:val="00D278F6"/>
    <w:rsid w:val="00D310E9"/>
    <w:rsid w:val="00D31B62"/>
    <w:rsid w:val="00D31C2C"/>
    <w:rsid w:val="00D327F8"/>
    <w:rsid w:val="00D345C4"/>
    <w:rsid w:val="00D34893"/>
    <w:rsid w:val="00D35C54"/>
    <w:rsid w:val="00D4067F"/>
    <w:rsid w:val="00D40A8C"/>
    <w:rsid w:val="00D417CB"/>
    <w:rsid w:val="00D42396"/>
    <w:rsid w:val="00D43610"/>
    <w:rsid w:val="00D437E8"/>
    <w:rsid w:val="00D438D1"/>
    <w:rsid w:val="00D43C3F"/>
    <w:rsid w:val="00D43CEA"/>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11D4"/>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272"/>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0B7"/>
    <w:rsid w:val="00DD02B1"/>
    <w:rsid w:val="00DD0DB3"/>
    <w:rsid w:val="00DD1910"/>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9FE"/>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7A5"/>
    <w:rsid w:val="00E62C6B"/>
    <w:rsid w:val="00E63C39"/>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227B"/>
    <w:rsid w:val="00EE3356"/>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4319"/>
    <w:rsid w:val="00F043C9"/>
    <w:rsid w:val="00F0484C"/>
    <w:rsid w:val="00F04F00"/>
    <w:rsid w:val="00F05637"/>
    <w:rsid w:val="00F05C2E"/>
    <w:rsid w:val="00F06C76"/>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789"/>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11A2"/>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64982E"/>
  <w15:chartTrackingRefBased/>
  <w15:docId w15:val="{0619B1C1-6CC1-4E11-A574-74B21C4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F73789"/>
    <w:pPr>
      <w:keepNext/>
      <w:keepLines/>
      <w:numPr>
        <w:numId w:val="27"/>
      </w:numPr>
      <w:spacing w:before="240" w:after="240" w:line="240" w:lineRule="auto"/>
      <w:jc w:val="left"/>
      <w:outlineLvl w:val="0"/>
    </w:pPr>
    <w:rPr>
      <w:rFonts w:eastAsia="Times" w:cs="Open Sans"/>
      <w:b/>
      <w:bCs/>
      <w:caps/>
      <w:color w:val="469FDD"/>
      <w:kern w:val="32"/>
      <w:sz w:val="24"/>
      <w:szCs w:val="24"/>
      <w:lang w:val="en-US"/>
    </w:rPr>
  </w:style>
  <w:style w:type="paragraph" w:styleId="Heading2">
    <w:name w:val="heading 2"/>
    <w:aliases w:val="NEA2,2"/>
    <w:basedOn w:val="Normal"/>
    <w:next w:val="Normal"/>
    <w:link w:val="Heading2Char"/>
    <w:uiPriority w:val="99"/>
    <w:qFormat/>
    <w:rsid w:val="00F73789"/>
    <w:pPr>
      <w:keepNext/>
      <w:numPr>
        <w:ilvl w:val="1"/>
        <w:numId w:val="9"/>
      </w:numPr>
      <w:spacing w:before="240" w:after="240"/>
      <w:outlineLvl w:val="1"/>
    </w:pPr>
    <w:rPr>
      <w:rFonts w:cs="Open Sans"/>
      <w:b/>
      <w:bCs/>
      <w:color w:val="469FDD"/>
      <w:sz w:val="24"/>
      <w:szCs w:val="28"/>
      <w:lang w:val="en-US"/>
    </w:rPr>
  </w:style>
  <w:style w:type="paragraph" w:styleId="Heading3">
    <w:name w:val="heading 3"/>
    <w:aliases w:val="Car Car,Car,NEA3,H3,0 Car"/>
    <w:basedOn w:val="Normal"/>
    <w:next w:val="Normal"/>
    <w:link w:val="Heading3Char"/>
    <w:uiPriority w:val="99"/>
    <w:qFormat/>
    <w:rsid w:val="00AA6F34"/>
    <w:pPr>
      <w:keepNext/>
      <w:numPr>
        <w:ilvl w:val="2"/>
        <w:numId w:val="9"/>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tabs>
        <w:tab w:val="num" w:pos="1008"/>
      </w:tabs>
      <w:spacing w:before="240" w:after="60"/>
      <w:ind w:left="1008" w:hanging="1008"/>
      <w:outlineLvl w:val="4"/>
    </w:pPr>
    <w:rPr>
      <w:b/>
      <w:bCs/>
      <w:i/>
      <w:iCs/>
      <w:sz w:val="26"/>
      <w:szCs w:val="26"/>
      <w:lang w:val="fr-FR"/>
    </w:rPr>
  </w:style>
  <w:style w:type="paragraph" w:styleId="Heading6">
    <w:name w:val="heading 6"/>
    <w:basedOn w:val="Normal"/>
    <w:next w:val="Normal"/>
    <w:link w:val="Heading6Char"/>
    <w:uiPriority w:val="99"/>
    <w:qFormat/>
    <w:rsid w:val="00AA6F34"/>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tabs>
        <w:tab w:val="num" w:pos="1584"/>
      </w:tabs>
      <w:spacing w:before="240" w:after="60"/>
      <w:ind w:left="1584" w:hanging="1584"/>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F73789"/>
    <w:rPr>
      <w:rFonts w:ascii="Open Sans" w:eastAsia="Times" w:hAnsi="Open Sans" w:cs="Open Sans"/>
      <w:b/>
      <w:bCs/>
      <w:caps/>
      <w:color w:val="469FDD"/>
      <w:kern w:val="32"/>
      <w:sz w:val="24"/>
      <w:szCs w:val="24"/>
      <w:lang w:val="en-US" w:eastAsia="fr-FR"/>
    </w:rPr>
  </w:style>
  <w:style w:type="character" w:customStyle="1" w:styleId="Heading2Char">
    <w:name w:val="Heading 2 Char"/>
    <w:aliases w:val="NEA2 Char,2 Char"/>
    <w:link w:val="Heading2"/>
    <w:uiPriority w:val="99"/>
    <w:locked/>
    <w:rsid w:val="00F73789"/>
    <w:rPr>
      <w:rFonts w:ascii="Open Sans" w:eastAsia="Times New Roman" w:hAnsi="Open Sans" w:cs="Open Sans"/>
      <w:b/>
      <w:bCs/>
      <w:color w:val="469FDD"/>
      <w:sz w:val="24"/>
      <w:szCs w:val="28"/>
      <w:lang w:val="en-US" w:eastAsia="fr-FR"/>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uiPriority w:val="99"/>
    <w:semiHidden/>
    <w:rsid w:val="008579BD"/>
    <w:pPr>
      <w:spacing w:before="0" w:line="240" w:lineRule="auto"/>
    </w:pPr>
    <w:rPr>
      <w:sz w:val="18"/>
      <w:szCs w:val="18"/>
    </w:rPr>
  </w:style>
  <w:style w:type="character" w:customStyle="1" w:styleId="FootnoteTextChar">
    <w:name w:val="Footnote Text Char"/>
    <w:link w:val="FootnoteText"/>
    <w:uiPriority w:val="99"/>
    <w:locked/>
    <w:rsid w:val="008579BD"/>
    <w:rPr>
      <w:rFonts w:eastAsia="Times New Roman"/>
      <w:sz w:val="18"/>
      <w:szCs w:val="18"/>
      <w:lang w:val="x-none" w:eastAsia="fr-FR"/>
    </w:rPr>
  </w:style>
  <w:style w:type="character" w:styleId="FootnoteReference">
    <w:name w:val="footnote reference"/>
    <w:uiPriority w:val="99"/>
    <w:semiHidden/>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FootnoteText"/>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22"/>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basedOn w:val="Normal"/>
    <w:link w:val="ListParagraphChar"/>
    <w:uiPriority w:val="99"/>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link w:val="ListParagraph"/>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table" w:customStyle="1" w:styleId="TableGrid0">
    <w:name w:val="TableGrid"/>
    <w:rsid w:val="00A400DC"/>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228158">
      <w:bodyDiv w:val="1"/>
      <w:marLeft w:val="0"/>
      <w:marRight w:val="0"/>
      <w:marTop w:val="0"/>
      <w:marBottom w:val="0"/>
      <w:divBdr>
        <w:top w:val="none" w:sz="0" w:space="0" w:color="auto"/>
        <w:left w:val="none" w:sz="0" w:space="0" w:color="auto"/>
        <w:bottom w:val="none" w:sz="0" w:space="0" w:color="auto"/>
        <w:right w:val="none" w:sz="0" w:space="0" w:color="auto"/>
      </w:divBdr>
      <w:divsChild>
        <w:div w:id="672144654">
          <w:marLeft w:val="240"/>
          <w:marRight w:val="0"/>
          <w:marTop w:val="0"/>
          <w:marBottom w:val="0"/>
          <w:divBdr>
            <w:top w:val="none" w:sz="0" w:space="0" w:color="auto"/>
            <w:left w:val="none" w:sz="0" w:space="0" w:color="auto"/>
            <w:bottom w:val="none" w:sz="0" w:space="0" w:color="auto"/>
            <w:right w:val="none" w:sz="0" w:space="0" w:color="auto"/>
          </w:divBdr>
        </w:div>
        <w:div w:id="714736950">
          <w:marLeft w:val="240"/>
          <w:marRight w:val="0"/>
          <w:marTop w:val="0"/>
          <w:marBottom w:val="0"/>
          <w:divBdr>
            <w:top w:val="none" w:sz="0" w:space="0" w:color="auto"/>
            <w:left w:val="none" w:sz="0" w:space="0" w:color="auto"/>
            <w:bottom w:val="none" w:sz="0" w:space="0" w:color="auto"/>
            <w:right w:val="none" w:sz="0" w:space="0" w:color="auto"/>
          </w:divBdr>
        </w:div>
        <w:div w:id="14038278">
          <w:marLeft w:val="240"/>
          <w:marRight w:val="0"/>
          <w:marTop w:val="0"/>
          <w:marBottom w:val="0"/>
          <w:divBdr>
            <w:top w:val="none" w:sz="0" w:space="0" w:color="auto"/>
            <w:left w:val="none" w:sz="0" w:space="0" w:color="auto"/>
            <w:bottom w:val="none" w:sz="0" w:space="0" w:color="auto"/>
            <w:right w:val="none" w:sz="0" w:space="0" w:color="auto"/>
          </w:divBdr>
        </w:div>
      </w:divsChild>
    </w:div>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1L0065:EN:NOT" TargetMode="External"/><Relationship Id="rId2" Type="http://schemas.openxmlformats.org/officeDocument/2006/relationships/hyperlink" Target="http://rohs.biois.eu/requests3.html" TargetMode="External"/><Relationship Id="rId1" Type="http://schemas.openxmlformats.org/officeDocument/2006/relationships/hyperlink" Target="http://rohs.biois.eu/requests3.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DF29D-F3B2-4C04-A02A-C2B2C78B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1045</Words>
  <Characters>5827</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6859</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Billaud, Mathilde</dc:creator>
  <cp:keywords/>
  <cp:lastModifiedBy>Basile Clot</cp:lastModifiedBy>
  <cp:revision>4</cp:revision>
  <cp:lastPrinted>2020-07-22T11:37:00Z</cp:lastPrinted>
  <dcterms:created xsi:type="dcterms:W3CDTF">2021-03-09T10:14:00Z</dcterms:created>
  <dcterms:modified xsi:type="dcterms:W3CDTF">2021-04-14T10:41:00Z</dcterms:modified>
</cp:coreProperties>
</file>